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71E50" w14:textId="77777777" w:rsidR="00D0074F" w:rsidRDefault="00D0074F">
      <w:pPr>
        <w:spacing w:line="276" w:lineRule="auto"/>
        <w:jc w:val="both"/>
        <w:rPr>
          <w:rFonts w:asciiTheme="majorHAnsi" w:hAnsiTheme="majorHAnsi" w:cstheme="majorHAnsi"/>
          <w:sz w:val="22"/>
          <w:szCs w:val="22"/>
          <w:lang w:val="hu-HU"/>
        </w:rPr>
      </w:pPr>
    </w:p>
    <w:p w14:paraId="0FE2C632"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Our Company, Flextronics International Termelő és Szolgáltató Vámszabadterületi Korlátolt Felelősségű Társaság, has the following sites:</w:t>
      </w:r>
    </w:p>
    <w:p w14:paraId="09DA2B8F" w14:textId="77777777" w:rsidR="00D0074F" w:rsidRDefault="00D0074F">
      <w:pPr>
        <w:spacing w:line="276" w:lineRule="auto"/>
        <w:jc w:val="both"/>
        <w:rPr>
          <w:rFonts w:asciiTheme="majorHAnsi" w:hAnsiTheme="majorHAnsi" w:cstheme="majorHAnsi"/>
          <w:sz w:val="22"/>
          <w:szCs w:val="22"/>
          <w:lang w:val="hu-HU"/>
        </w:rPr>
      </w:pPr>
    </w:p>
    <w:p w14:paraId="11C5B3B1" w14:textId="77777777" w:rsidR="00D0074F" w:rsidRDefault="00D0074F">
      <w:pPr>
        <w:spacing w:line="276" w:lineRule="auto"/>
        <w:jc w:val="both"/>
        <w:rPr>
          <w:rFonts w:asciiTheme="majorHAnsi" w:hAnsiTheme="majorHAnsi" w:cstheme="majorHAnsi"/>
          <w:sz w:val="22"/>
          <w:szCs w:val="22"/>
          <w:lang w:val="hu-HU"/>
        </w:rPr>
      </w:pPr>
    </w:p>
    <w:p w14:paraId="688B3D41" w14:textId="77777777" w:rsidR="00D0074F" w:rsidRDefault="004938E0">
      <w:pPr>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8660 Tab, Munkás u. 28. (</w:t>
      </w:r>
      <w:r>
        <w:rPr>
          <w:rFonts w:asciiTheme="majorHAnsi" w:hAnsiTheme="majorHAnsi" w:cstheme="majorHAnsi"/>
          <w:sz w:val="22"/>
          <w:szCs w:val="22"/>
        </w:rPr>
        <w:t>also the registered office</w:t>
      </w:r>
      <w:r>
        <w:rPr>
          <w:rFonts w:asciiTheme="majorHAnsi" w:hAnsiTheme="majorHAnsi" w:cstheme="majorHAnsi"/>
          <w:sz w:val="22"/>
          <w:szCs w:val="22"/>
          <w:lang w:val="hu-HU"/>
        </w:rPr>
        <w:t>)</w:t>
      </w:r>
      <w:r>
        <w:rPr>
          <w:rFonts w:ascii="Verdana" w:hAnsi="Verdana" w:cstheme="majorHAnsi"/>
          <w:b/>
          <w:sz w:val="20"/>
          <w:szCs w:val="22"/>
          <w:lang w:val="hu-HU"/>
        </w:rPr>
        <w:t xml:space="preserve">  </w:t>
      </w:r>
    </w:p>
    <w:p w14:paraId="40B9CA0B" w14:textId="4BCCF12D" w:rsidR="00D0074F" w:rsidRDefault="004938E0">
      <w:pPr>
        <w:pStyle w:val="ListParagraph"/>
        <w:spacing w:after="120" w:line="276" w:lineRule="auto"/>
        <w:jc w:val="both"/>
        <w:rPr>
          <w:rFonts w:asciiTheme="majorHAnsi" w:hAnsiTheme="majorHAnsi" w:cstheme="majorHAnsi"/>
          <w:sz w:val="22"/>
          <w:szCs w:val="22"/>
        </w:rPr>
      </w:pPr>
      <w:bookmarkStart w:id="0" w:name="diff_1"/>
      <w:r>
        <w:rPr>
          <w:rFonts w:asciiTheme="majorHAnsi" w:hAnsiTheme="majorHAnsi" w:cstheme="majorHAnsi"/>
          <w:sz w:val="22"/>
          <w:szCs w:val="22"/>
        </w:rPr>
        <w:t xml:space="preserve">This site manufactures electronic components and finished products. The products mainly include parts and components for industrial electronics and </w:t>
      </w:r>
      <w:r w:rsidR="000F53D7" w:rsidRPr="000F53D7">
        <w:rPr>
          <w:rFonts w:asciiTheme="majorHAnsi" w:hAnsiTheme="majorHAnsi" w:cstheme="majorHAnsi"/>
          <w:sz w:val="22"/>
          <w:szCs w:val="22"/>
        </w:rPr>
        <w:t>parts and subassemblies for household appliances</w:t>
      </w:r>
      <w:r>
        <w:rPr>
          <w:rFonts w:asciiTheme="majorHAnsi" w:hAnsiTheme="majorHAnsi" w:cstheme="majorHAnsi"/>
          <w:sz w:val="22"/>
          <w:szCs w:val="22"/>
        </w:rPr>
        <w:t>.</w:t>
      </w:r>
      <w:bookmarkEnd w:id="0"/>
    </w:p>
    <w:p w14:paraId="3288E343" w14:textId="77777777" w:rsidR="00D0074F" w:rsidRDefault="00D0074F">
      <w:pPr>
        <w:spacing w:line="276" w:lineRule="auto"/>
        <w:ind w:left="720"/>
        <w:jc w:val="both"/>
        <w:rPr>
          <w:rFonts w:asciiTheme="majorHAnsi" w:hAnsiTheme="majorHAnsi" w:cstheme="majorHAnsi"/>
          <w:sz w:val="22"/>
          <w:szCs w:val="22"/>
          <w:lang w:val="hu-HU"/>
        </w:rPr>
      </w:pPr>
    </w:p>
    <w:p w14:paraId="48833DF5" w14:textId="77777777" w:rsidR="00D0074F" w:rsidRDefault="004938E0">
      <w:pPr>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8900 Zalaegerszeg, Zrínyi Miklós u. 38.</w:t>
      </w:r>
      <w:r>
        <w:rPr>
          <w:rFonts w:ascii="Verdana" w:hAnsi="Verdana" w:cstheme="majorHAnsi"/>
          <w:b/>
          <w:sz w:val="20"/>
          <w:szCs w:val="22"/>
          <w:lang w:val="hu-HU"/>
        </w:rPr>
        <w:t xml:space="preserve">  </w:t>
      </w:r>
    </w:p>
    <w:p w14:paraId="6DECB7D1" w14:textId="77777777" w:rsidR="00D0074F" w:rsidRDefault="004938E0">
      <w:pPr>
        <w:spacing w:line="276" w:lineRule="auto"/>
        <w:ind w:left="720"/>
        <w:jc w:val="both"/>
        <w:rPr>
          <w:rFonts w:ascii="Verdana" w:hAnsi="Verdana" w:cstheme="majorHAnsi"/>
          <w:b/>
          <w:sz w:val="20"/>
          <w:szCs w:val="22"/>
          <w:lang w:val="hu-HU"/>
        </w:rPr>
      </w:pPr>
      <w:r>
        <w:rPr>
          <w:rFonts w:asciiTheme="majorHAnsi" w:hAnsiTheme="majorHAnsi" w:cstheme="majorHAnsi"/>
          <w:sz w:val="22"/>
          <w:szCs w:val="22"/>
          <w:lang w:val="hu-HU"/>
        </w:rPr>
        <w:t>8900 Zalaegerszeg, Posta u. 63.</w:t>
      </w:r>
      <w:r>
        <w:rPr>
          <w:rFonts w:ascii="Verdana" w:hAnsi="Verdana" w:cstheme="majorHAnsi"/>
          <w:b/>
          <w:sz w:val="20"/>
          <w:szCs w:val="22"/>
          <w:lang w:val="hu-HU"/>
        </w:rPr>
        <w:t xml:space="preserve">  </w:t>
      </w:r>
    </w:p>
    <w:p w14:paraId="2D54C8A2" w14:textId="77777777" w:rsidR="00D0074F" w:rsidRDefault="004938E0">
      <w:pPr>
        <w:spacing w:line="276" w:lineRule="auto"/>
        <w:ind w:left="720"/>
        <w:jc w:val="both"/>
        <w:rPr>
          <w:rFonts w:asciiTheme="majorHAnsi" w:hAnsiTheme="majorHAnsi" w:cstheme="majorHAnsi"/>
          <w:sz w:val="22"/>
          <w:szCs w:val="22"/>
          <w:lang w:val="hu-HU"/>
        </w:rPr>
      </w:pPr>
      <w:r>
        <w:rPr>
          <w:rFonts w:asciiTheme="majorHAnsi" w:hAnsiTheme="majorHAnsi" w:cstheme="majorHAnsi"/>
          <w:sz w:val="22"/>
          <w:szCs w:val="22"/>
          <w:lang w:val="hu-HU"/>
        </w:rPr>
        <w:t>8900 Zalaegerszeg, Bánki Donát út 1.</w:t>
      </w:r>
    </w:p>
    <w:p w14:paraId="28A1C47F"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There are three production plants in Zalaegerszeg. Two of our long-established plants manufacture electronic appliances and IT equipment, as well as electronic components used in the automotive industry. In addition to manufacturing, there is also a research and development base that mainly deals with the development and optimisation of electronic components and printed circuit boards. The newly built production facility on Bánki Donát Street manufactures products related to electric vehicle applications.</w:t>
      </w:r>
    </w:p>
    <w:p w14:paraId="60FC0737" w14:textId="77777777" w:rsidR="00D0074F" w:rsidRDefault="00D0074F">
      <w:pPr>
        <w:spacing w:line="276" w:lineRule="auto"/>
        <w:ind w:left="720"/>
        <w:jc w:val="both"/>
        <w:rPr>
          <w:rFonts w:asciiTheme="majorHAnsi" w:hAnsiTheme="majorHAnsi" w:cstheme="majorHAnsi"/>
          <w:sz w:val="22"/>
          <w:szCs w:val="22"/>
          <w:lang w:val="hu-HU"/>
        </w:rPr>
      </w:pPr>
    </w:p>
    <w:p w14:paraId="3FADA2F8" w14:textId="77777777" w:rsidR="00D0074F" w:rsidRDefault="004938E0">
      <w:pPr>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 xml:space="preserve">9600 Sárvár, Ikervári u. 42. </w:t>
      </w:r>
      <w:r>
        <w:rPr>
          <w:rFonts w:ascii="Verdana" w:hAnsi="Verdana" w:cstheme="majorHAnsi"/>
          <w:b/>
          <w:sz w:val="20"/>
          <w:szCs w:val="22"/>
          <w:lang w:val="hu-HU"/>
        </w:rPr>
        <w:t xml:space="preserve">  </w:t>
      </w:r>
    </w:p>
    <w:p w14:paraId="0351E3B5" w14:textId="77777777" w:rsidR="00D0074F" w:rsidRDefault="004938E0">
      <w:pPr>
        <w:spacing w:line="276" w:lineRule="auto"/>
        <w:ind w:left="720"/>
        <w:jc w:val="both"/>
        <w:rPr>
          <w:rFonts w:ascii="Verdana" w:hAnsi="Verdana" w:cstheme="majorHAnsi"/>
          <w:b/>
          <w:sz w:val="20"/>
          <w:szCs w:val="22"/>
          <w:lang w:val="hu-HU"/>
        </w:rPr>
      </w:pPr>
      <w:r>
        <w:rPr>
          <w:rFonts w:asciiTheme="majorHAnsi" w:hAnsiTheme="majorHAnsi" w:cstheme="majorHAnsi"/>
          <w:sz w:val="22"/>
          <w:szCs w:val="22"/>
          <w:lang w:val="hu-HU"/>
        </w:rPr>
        <w:t>9600 Sárvár, Ikervári u. 25.</w:t>
      </w:r>
      <w:r>
        <w:rPr>
          <w:rFonts w:ascii="Verdana" w:hAnsi="Verdana" w:cstheme="majorHAnsi"/>
          <w:b/>
          <w:sz w:val="20"/>
          <w:szCs w:val="22"/>
          <w:lang w:val="hu-HU"/>
        </w:rPr>
        <w:t xml:space="preserve">  </w:t>
      </w:r>
    </w:p>
    <w:p w14:paraId="77994189" w14:textId="77777777" w:rsidR="00D0074F" w:rsidRDefault="004938E0">
      <w:pPr>
        <w:spacing w:line="276" w:lineRule="auto"/>
        <w:ind w:left="720"/>
        <w:jc w:val="both"/>
        <w:rPr>
          <w:rFonts w:ascii="Verdana" w:hAnsi="Verdana" w:cstheme="majorHAnsi"/>
          <w:b/>
          <w:sz w:val="20"/>
          <w:szCs w:val="22"/>
          <w:lang w:val="hu-HU"/>
        </w:rPr>
      </w:pPr>
      <w:r>
        <w:rPr>
          <w:rFonts w:asciiTheme="majorHAnsi" w:hAnsiTheme="majorHAnsi" w:cstheme="majorHAnsi"/>
          <w:sz w:val="22"/>
          <w:szCs w:val="22"/>
          <w:lang w:val="hu-HU"/>
        </w:rPr>
        <w:t>9600 Sárvár, Ungvár u. 22.</w:t>
      </w:r>
      <w:r>
        <w:rPr>
          <w:rFonts w:ascii="Verdana" w:hAnsi="Verdana" w:cstheme="majorHAnsi"/>
          <w:b/>
          <w:sz w:val="20"/>
          <w:szCs w:val="22"/>
          <w:lang w:val="hu-HU"/>
        </w:rPr>
        <w:t xml:space="preserve"> </w:t>
      </w:r>
    </w:p>
    <w:p w14:paraId="4D741A1C" w14:textId="77777777" w:rsidR="00D0074F" w:rsidRDefault="004938E0">
      <w:pPr>
        <w:spacing w:line="276" w:lineRule="auto"/>
        <w:ind w:left="720"/>
        <w:jc w:val="both"/>
        <w:rPr>
          <w:rFonts w:asciiTheme="majorHAnsi" w:hAnsiTheme="majorHAnsi" w:cstheme="majorHAnsi"/>
          <w:sz w:val="22"/>
          <w:szCs w:val="22"/>
          <w:lang w:val="hu-HU"/>
        </w:rPr>
      </w:pPr>
      <w:r>
        <w:rPr>
          <w:rFonts w:asciiTheme="majorHAnsi" w:hAnsiTheme="majorHAnsi" w:cstheme="majorHAnsi"/>
          <w:sz w:val="22"/>
          <w:szCs w:val="22"/>
          <w:lang w:val="hu-HU"/>
        </w:rPr>
        <w:t>9600 Sárvár, 1359. hrsz.</w:t>
      </w:r>
    </w:p>
    <w:p w14:paraId="7A1A7FF5" w14:textId="77777777" w:rsidR="00D0074F" w:rsidRDefault="004938E0">
      <w:pPr>
        <w:spacing w:line="276" w:lineRule="auto"/>
        <w:ind w:left="720"/>
        <w:jc w:val="both"/>
        <w:rPr>
          <w:rFonts w:asciiTheme="majorHAnsi" w:hAnsiTheme="majorHAnsi" w:cstheme="majorHAnsi"/>
          <w:sz w:val="22"/>
          <w:szCs w:val="22"/>
          <w:lang w:val="hu-HU"/>
        </w:rPr>
      </w:pPr>
      <w:r>
        <w:rPr>
          <w:rFonts w:asciiTheme="majorHAnsi" w:hAnsiTheme="majorHAnsi" w:cstheme="majorHAnsi"/>
          <w:sz w:val="22"/>
          <w:szCs w:val="22"/>
          <w:lang w:val="hu-HU"/>
        </w:rPr>
        <w:t>9600 Sárvár, 1360/1. hrsz.</w:t>
      </w:r>
    </w:p>
    <w:p w14:paraId="65ABC766" w14:textId="77777777" w:rsidR="00D0074F" w:rsidRDefault="004938E0">
      <w:pPr>
        <w:spacing w:line="276" w:lineRule="auto"/>
        <w:ind w:left="720"/>
        <w:jc w:val="both"/>
        <w:rPr>
          <w:rFonts w:asciiTheme="majorHAnsi" w:hAnsiTheme="majorHAnsi" w:cstheme="majorHAnsi"/>
          <w:sz w:val="22"/>
          <w:szCs w:val="22"/>
          <w:lang w:val="hu-HU"/>
        </w:rPr>
      </w:pPr>
      <w:r>
        <w:rPr>
          <w:rFonts w:asciiTheme="majorHAnsi" w:hAnsiTheme="majorHAnsi" w:cstheme="majorHAnsi"/>
          <w:sz w:val="22"/>
          <w:szCs w:val="22"/>
          <w:lang w:val="hu-HU"/>
        </w:rPr>
        <w:t xml:space="preserve">9600 Sárvár, 1390. hrsz </w:t>
      </w:r>
    </w:p>
    <w:p w14:paraId="0A0D7564"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The Company's plastic injection moulding plant is located in Sárvár. This site manufactures plastic parts for the automotive segment and household electronics companies, while also supplying the plastic component requirements of our branches. Another production unit of our automotive supplier base is also located here. In addition to the assembly of lighting units, it will also carry out a new electric bicycle assembly activity. The production unit is currently primarily responsible for new product introduc</w:t>
      </w:r>
      <w:r>
        <w:rPr>
          <w:rFonts w:asciiTheme="majorHAnsi" w:hAnsiTheme="majorHAnsi" w:cstheme="majorHAnsi"/>
          <w:sz w:val="22"/>
          <w:szCs w:val="22"/>
        </w:rPr>
        <w:t>tion activities, start-up operations, tooling, engineering support and pre-series production tasks.</w:t>
      </w:r>
    </w:p>
    <w:p w14:paraId="415D2EEE"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In addition, the Sárvár plant is the manufacturing location of a world-famous company's small kitchen appliances. Production is also carried out for a customer related to medical products.</w:t>
      </w:r>
    </w:p>
    <w:p w14:paraId="2EDE43BE"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Flextronics International Kft.'s administrative centre is also located in Sárvár, providing bookkeeping, tax and payroll services to the individual sites.</w:t>
      </w:r>
    </w:p>
    <w:p w14:paraId="1FD99D5A" w14:textId="77777777" w:rsidR="00D0074F" w:rsidRDefault="00D0074F">
      <w:pPr>
        <w:spacing w:line="276" w:lineRule="auto"/>
        <w:ind w:left="720"/>
        <w:jc w:val="both"/>
        <w:rPr>
          <w:rFonts w:asciiTheme="majorHAnsi" w:hAnsiTheme="majorHAnsi" w:cstheme="majorHAnsi"/>
          <w:sz w:val="22"/>
          <w:szCs w:val="22"/>
          <w:lang w:val="hu-HU"/>
        </w:rPr>
      </w:pPr>
    </w:p>
    <w:p w14:paraId="7A764A8D" w14:textId="77777777" w:rsidR="00D0074F" w:rsidRDefault="00D0074F">
      <w:pPr>
        <w:spacing w:line="276" w:lineRule="auto"/>
        <w:ind w:left="720"/>
        <w:jc w:val="both"/>
        <w:rPr>
          <w:rFonts w:asciiTheme="majorHAnsi" w:hAnsiTheme="majorHAnsi" w:cstheme="majorHAnsi"/>
          <w:sz w:val="22"/>
          <w:szCs w:val="22"/>
          <w:lang w:val="hu-HU"/>
        </w:rPr>
      </w:pPr>
    </w:p>
    <w:p w14:paraId="271700A8" w14:textId="77777777" w:rsidR="00D0074F" w:rsidRDefault="004938E0">
      <w:pPr>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4400 Nyíregyháza, Debreceni út 342.</w:t>
      </w:r>
      <w:r>
        <w:rPr>
          <w:rFonts w:ascii="Verdana" w:hAnsi="Verdana" w:cstheme="majorHAnsi"/>
          <w:b/>
          <w:sz w:val="20"/>
          <w:szCs w:val="22"/>
          <w:lang w:val="hu-HU"/>
        </w:rPr>
        <w:t xml:space="preserve">  </w:t>
      </w:r>
    </w:p>
    <w:p w14:paraId="3880E335" w14:textId="77777777" w:rsidR="00D0074F" w:rsidRDefault="004938E0">
      <w:pPr>
        <w:spacing w:line="276" w:lineRule="auto"/>
        <w:ind w:left="720"/>
        <w:jc w:val="both"/>
        <w:rPr>
          <w:rFonts w:ascii="Verdana" w:hAnsi="Verdana" w:cstheme="majorHAnsi"/>
          <w:b/>
          <w:sz w:val="20"/>
          <w:szCs w:val="22"/>
          <w:lang w:val="hu-HU"/>
        </w:rPr>
      </w:pPr>
      <w:r>
        <w:rPr>
          <w:rFonts w:asciiTheme="majorHAnsi" w:hAnsiTheme="majorHAnsi" w:cstheme="majorHAnsi"/>
          <w:sz w:val="22"/>
          <w:szCs w:val="22"/>
          <w:lang w:val="hu-HU"/>
        </w:rPr>
        <w:t>4400 Nyíregyháza, Debreceni út 370.</w:t>
      </w:r>
      <w:r>
        <w:rPr>
          <w:rFonts w:ascii="Verdana" w:hAnsi="Verdana" w:cstheme="majorHAnsi"/>
          <w:b/>
          <w:sz w:val="20"/>
          <w:szCs w:val="22"/>
          <w:lang w:val="hu-HU"/>
        </w:rPr>
        <w:t xml:space="preserve">  </w:t>
      </w:r>
    </w:p>
    <w:p w14:paraId="4399283E"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The buildings of the Nyíregyháza</w:t>
      </w:r>
      <w:r>
        <w:rPr>
          <w:rFonts w:asciiTheme="majorHAnsi" w:hAnsiTheme="majorHAnsi" w:cstheme="majorHAnsi"/>
          <w:sz w:val="22"/>
          <w:szCs w:val="22"/>
        </w:rPr>
        <w:t xml:space="preserve"> site were leased to the business partner that purchased the production machinery. One of the premises was leased by the Company from a third party; the removal of this site from the official company records is currently in progress. The other site in Nyíregyháza (Debreceni út 370) performs logistics functions.</w:t>
      </w:r>
    </w:p>
    <w:p w14:paraId="65A9B102" w14:textId="77777777" w:rsidR="00D0074F" w:rsidRDefault="00D0074F">
      <w:pPr>
        <w:spacing w:line="276" w:lineRule="auto"/>
        <w:ind w:left="720"/>
        <w:jc w:val="both"/>
        <w:rPr>
          <w:rFonts w:asciiTheme="majorHAnsi" w:hAnsiTheme="majorHAnsi" w:cstheme="majorHAnsi"/>
          <w:sz w:val="22"/>
          <w:szCs w:val="22"/>
          <w:lang w:val="hu-HU"/>
        </w:rPr>
      </w:pPr>
    </w:p>
    <w:p w14:paraId="39F87571" w14:textId="77777777" w:rsidR="00D0074F" w:rsidRDefault="004938E0">
      <w:pPr>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1183 Budapest, Hangár utca 5-37.</w:t>
      </w:r>
      <w:r>
        <w:rPr>
          <w:rFonts w:ascii="Verdana" w:hAnsi="Verdana" w:cstheme="majorHAnsi"/>
          <w:b/>
          <w:sz w:val="20"/>
          <w:szCs w:val="22"/>
          <w:lang w:val="hu-HU"/>
        </w:rPr>
        <w:t xml:space="preserve">  </w:t>
      </w:r>
    </w:p>
    <w:p w14:paraId="0BBE301E"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After the merger with Flextronics Budapest Kft., this site became the repair centre that provides maintenance services for our customers within or outside the guarantee period. This is also the manufacturing and repair base of the Medical segment engaged in the repair and manufacturing of medical equipment.</w:t>
      </w:r>
    </w:p>
    <w:p w14:paraId="1A48ADFE" w14:textId="77777777" w:rsidR="00D0074F" w:rsidRDefault="00D0074F">
      <w:pPr>
        <w:spacing w:line="276" w:lineRule="auto"/>
        <w:ind w:left="720"/>
        <w:jc w:val="both"/>
        <w:rPr>
          <w:rFonts w:asciiTheme="majorHAnsi" w:hAnsiTheme="majorHAnsi" w:cstheme="majorHAnsi"/>
          <w:sz w:val="22"/>
          <w:szCs w:val="22"/>
          <w:lang w:val="hu-HU"/>
        </w:rPr>
      </w:pPr>
    </w:p>
    <w:p w14:paraId="71479A80" w14:textId="77777777" w:rsidR="00D0074F" w:rsidRDefault="004938E0">
      <w:pPr>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2360 Gyál, Bem József utca 32.</w:t>
      </w:r>
      <w:r>
        <w:rPr>
          <w:rFonts w:ascii="Verdana" w:hAnsi="Verdana" w:cstheme="majorHAnsi"/>
          <w:b/>
          <w:sz w:val="20"/>
          <w:szCs w:val="22"/>
          <w:lang w:val="hu-HU"/>
        </w:rPr>
        <w:t xml:space="preserve">  </w:t>
      </w:r>
    </w:p>
    <w:p w14:paraId="62FF074D"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Logistic and repair services are rendered for the Budapest site at the site in Gyál.</w:t>
      </w:r>
    </w:p>
    <w:p w14:paraId="6CC7F6E7" w14:textId="77777777" w:rsidR="00D0074F" w:rsidRDefault="00D0074F">
      <w:pPr>
        <w:spacing w:line="276" w:lineRule="auto"/>
        <w:ind w:left="720"/>
        <w:jc w:val="both"/>
        <w:rPr>
          <w:rFonts w:asciiTheme="majorHAnsi" w:hAnsiTheme="majorHAnsi" w:cstheme="majorHAnsi"/>
          <w:sz w:val="22"/>
          <w:szCs w:val="22"/>
          <w:lang w:val="hu-HU"/>
        </w:rPr>
      </w:pPr>
    </w:p>
    <w:p w14:paraId="4E57E544" w14:textId="77777777" w:rsidR="00D0074F" w:rsidRDefault="004938E0">
      <w:pPr>
        <w:keepLines/>
        <w:numPr>
          <w:ilvl w:val="0"/>
          <w:numId w:val="3"/>
        </w:numPr>
        <w:tabs>
          <w:tab w:val="left" w:pos="720"/>
        </w:tabs>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1117 Budapest, Irinyi József u. 4-20.</w:t>
      </w:r>
      <w:r>
        <w:rPr>
          <w:rFonts w:ascii="Verdana" w:hAnsi="Verdana" w:cstheme="majorHAnsi"/>
          <w:b/>
          <w:sz w:val="20"/>
          <w:szCs w:val="22"/>
          <w:lang w:val="hu-HU"/>
        </w:rPr>
        <w:t xml:space="preserve">  </w:t>
      </w:r>
    </w:p>
    <w:p w14:paraId="1D034A88"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This site was also launched in 2015. Our activities at this site are closely related to the industrial research and development activities carried out by the Flextronics Group. The engineering knowledge centre located at this site is involved in the further development of IT hardware solutions.</w:t>
      </w:r>
    </w:p>
    <w:p w14:paraId="224EFB4E" w14:textId="77777777" w:rsidR="00D0074F" w:rsidRDefault="00D0074F">
      <w:pPr>
        <w:spacing w:line="276" w:lineRule="auto"/>
        <w:jc w:val="both"/>
        <w:rPr>
          <w:rFonts w:asciiTheme="majorHAnsi" w:hAnsiTheme="majorHAnsi" w:cstheme="majorHAnsi"/>
          <w:sz w:val="22"/>
          <w:szCs w:val="22"/>
          <w:lang w:val="hu-HU"/>
        </w:rPr>
      </w:pPr>
    </w:p>
    <w:p w14:paraId="4B0BA625" w14:textId="77777777" w:rsidR="00D0074F" w:rsidRDefault="004938E0">
      <w:pPr>
        <w:pStyle w:val="ListParagraph"/>
        <w:numPr>
          <w:ilvl w:val="0"/>
          <w:numId w:val="3"/>
        </w:numPr>
        <w:spacing w:line="276" w:lineRule="auto"/>
        <w:jc w:val="both"/>
        <w:rPr>
          <w:rFonts w:asciiTheme="majorHAnsi" w:hAnsiTheme="majorHAnsi" w:cstheme="majorHAnsi"/>
          <w:sz w:val="22"/>
          <w:szCs w:val="22"/>
          <w:lang w:val="hu-HU"/>
        </w:rPr>
      </w:pPr>
      <w:r>
        <w:rPr>
          <w:rFonts w:asciiTheme="majorHAnsi" w:hAnsiTheme="majorHAnsi" w:cstheme="majorHAnsi"/>
          <w:sz w:val="22"/>
          <w:szCs w:val="22"/>
          <w:lang w:val="hu-HU"/>
        </w:rPr>
        <w:t>2225 Üllő, K-Sped körút 28.</w:t>
      </w:r>
      <w:r>
        <w:rPr>
          <w:rFonts w:ascii="Verdana" w:hAnsi="Verdana" w:cstheme="majorHAnsi"/>
          <w:b/>
          <w:sz w:val="20"/>
          <w:szCs w:val="22"/>
          <w:lang w:val="hu-HU"/>
        </w:rPr>
        <w:t xml:space="preserve">  </w:t>
      </w:r>
    </w:p>
    <w:p w14:paraId="18F1A5DF" w14:textId="77777777" w:rsidR="00D0074F" w:rsidRDefault="004938E0">
      <w:pPr>
        <w:spacing w:line="276" w:lineRule="auto"/>
        <w:ind w:left="720"/>
        <w:jc w:val="both"/>
        <w:rPr>
          <w:rFonts w:asciiTheme="majorHAnsi" w:hAnsiTheme="majorHAnsi" w:cstheme="majorHAnsi"/>
          <w:sz w:val="22"/>
          <w:szCs w:val="22"/>
        </w:rPr>
      </w:pPr>
      <w:r>
        <w:rPr>
          <w:rFonts w:asciiTheme="majorHAnsi" w:hAnsiTheme="majorHAnsi" w:cstheme="majorHAnsi"/>
          <w:sz w:val="22"/>
          <w:szCs w:val="22"/>
        </w:rPr>
        <w:t>At this branch, we provide logistics and material handling services for our customers.</w:t>
      </w:r>
    </w:p>
    <w:p w14:paraId="097519FB" w14:textId="77777777" w:rsidR="00D0074F" w:rsidRDefault="00D0074F">
      <w:pPr>
        <w:spacing w:line="276" w:lineRule="auto"/>
        <w:ind w:left="720"/>
        <w:jc w:val="both"/>
        <w:rPr>
          <w:rFonts w:asciiTheme="majorHAnsi" w:hAnsiTheme="majorHAnsi" w:cstheme="majorHAnsi"/>
          <w:sz w:val="22"/>
          <w:szCs w:val="22"/>
          <w:lang w:val="hu-HU"/>
        </w:rPr>
      </w:pPr>
    </w:p>
    <w:p w14:paraId="6C726DF9" w14:textId="77777777" w:rsidR="00D0074F" w:rsidRDefault="004938E0">
      <w:pPr>
        <w:pStyle w:val="ListParagraph"/>
        <w:numPr>
          <w:ilvl w:val="0"/>
          <w:numId w:val="3"/>
        </w:numPr>
        <w:rPr>
          <w:rFonts w:asciiTheme="majorHAnsi" w:hAnsiTheme="majorHAnsi" w:cstheme="majorHAnsi"/>
          <w:sz w:val="22"/>
          <w:szCs w:val="22"/>
          <w:lang w:val="hu-HU"/>
        </w:rPr>
      </w:pPr>
      <w:r>
        <w:rPr>
          <w:rFonts w:asciiTheme="majorHAnsi" w:hAnsiTheme="majorHAnsi" w:cstheme="majorHAnsi"/>
          <w:sz w:val="22"/>
          <w:szCs w:val="22"/>
          <w:lang w:val="hu-HU"/>
        </w:rPr>
        <w:t>2360 Gyál, Gorcsev Iván utca 7. B. ép.</w:t>
      </w:r>
      <w:r>
        <w:rPr>
          <w:rFonts w:ascii="Verdana" w:hAnsi="Verdana" w:cstheme="majorHAnsi"/>
          <w:b/>
          <w:sz w:val="20"/>
          <w:szCs w:val="22"/>
          <w:lang w:val="hu-HU"/>
        </w:rPr>
        <w:t xml:space="preserve">  </w:t>
      </w:r>
    </w:p>
    <w:p w14:paraId="7CF1E7B5" w14:textId="77777777" w:rsidR="00D0074F" w:rsidRDefault="004938E0">
      <w:pPr>
        <w:pStyle w:val="ListParagraph"/>
        <w:spacing w:line="276" w:lineRule="auto"/>
        <w:jc w:val="both"/>
        <w:rPr>
          <w:rFonts w:asciiTheme="majorHAnsi" w:hAnsiTheme="majorHAnsi" w:cstheme="majorHAnsi"/>
          <w:sz w:val="22"/>
          <w:szCs w:val="22"/>
        </w:rPr>
      </w:pPr>
      <w:r>
        <w:rPr>
          <w:rFonts w:asciiTheme="majorHAnsi" w:hAnsiTheme="majorHAnsi" w:cstheme="majorHAnsi"/>
          <w:sz w:val="22"/>
          <w:szCs w:val="22"/>
        </w:rPr>
        <w:t>We provide logistics services at our second site in Gyál, which complements and assists the work of the Budapest and Bem József utca, Gyál sites.</w:t>
      </w:r>
    </w:p>
    <w:p w14:paraId="67530D80" w14:textId="77777777" w:rsidR="00D0074F" w:rsidRDefault="00D0074F">
      <w:pPr>
        <w:spacing w:line="276" w:lineRule="auto"/>
        <w:jc w:val="both"/>
        <w:rPr>
          <w:rFonts w:asciiTheme="majorHAnsi" w:hAnsiTheme="majorHAnsi" w:cstheme="majorHAnsi"/>
          <w:sz w:val="22"/>
          <w:szCs w:val="22"/>
          <w:lang w:val="hu-HU"/>
        </w:rPr>
      </w:pPr>
    </w:p>
    <w:p w14:paraId="7839E65A"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 xml:space="preserve">Compared to the previous year, the Company's net sales revenue decreased by 7.08%. </w:t>
      </w:r>
      <w:r>
        <w:rPr>
          <w:rFonts w:asciiTheme="majorHAnsi" w:hAnsiTheme="majorHAnsi" w:cstheme="majorHAnsi"/>
          <w:sz w:val="22"/>
          <w:szCs w:val="22"/>
        </w:rPr>
        <w:t>The main reasons for the decline in revenue include the significant decrease in European demand experienced in the Lifestyle business. The Automotive business was further negatively impacted by the discontinuation of several end-of-life product programmes, while the Industrial segment was affected by a lower customer order backlog. Overall, these changes are attributable to weaker market demand, changes in the product portfolio and manufacturing structure, and the end of the life cycle of certain products.</w:t>
      </w:r>
    </w:p>
    <w:p w14:paraId="6046F864" w14:textId="77777777" w:rsidR="00D0074F" w:rsidRDefault="00D0074F">
      <w:pPr>
        <w:spacing w:line="276" w:lineRule="auto"/>
        <w:jc w:val="both"/>
        <w:rPr>
          <w:rFonts w:asciiTheme="majorHAnsi" w:hAnsiTheme="majorHAnsi" w:cstheme="majorHAnsi"/>
          <w:sz w:val="22"/>
          <w:szCs w:val="22"/>
          <w:lang w:val="hu-HU"/>
        </w:rPr>
      </w:pPr>
    </w:p>
    <w:p w14:paraId="1DB3EB2C"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Working capital increased by 1% compared to the previous year. Trade receivables remained largely unchanged, while inventories and supplier liabilities increased slightly and consistently with each other. As a result, there was no significant change in the overall level of working capital.</w:t>
      </w:r>
    </w:p>
    <w:p w14:paraId="1A51BE78" w14:textId="77777777" w:rsidR="00D0074F" w:rsidRDefault="00D0074F">
      <w:pPr>
        <w:spacing w:line="276" w:lineRule="auto"/>
        <w:jc w:val="both"/>
        <w:rPr>
          <w:rFonts w:asciiTheme="majorHAnsi" w:hAnsiTheme="majorHAnsi" w:cstheme="majorHAnsi"/>
          <w:sz w:val="22"/>
          <w:szCs w:val="22"/>
          <w:lang w:val="hu-HU"/>
        </w:rPr>
      </w:pPr>
    </w:p>
    <w:p w14:paraId="4D04C002"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The Company's profit after tax increased by EUR 8.6 million compared to the previous financial year. Both revenue and operating expenses decreased during the year, which overall resulted in a lower operating profit. At the same time, the reduction in certain cost elements was less significant than the decline in revenue, primarily due to movements in the Hungarian Forint exchange rate.</w:t>
      </w:r>
    </w:p>
    <w:p w14:paraId="4A46F254"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The improvement in profit after tax was primarily supported by the stronger financial result.</w:t>
      </w:r>
    </w:p>
    <w:p w14:paraId="1ECB660C"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The increase in the result of financial operations was mainly attributable to foreign exchange rate movements. The combined net effect of realised and unrealised foreign exchange differences recognised on the revaluation of the Company's significant foreign currency denominated receivables and liabilities was favourable.</w:t>
      </w:r>
    </w:p>
    <w:p w14:paraId="7C16928D"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rPr>
        <w:t>During the financial year, the valuation of investments remained unchanged compared to the previous year, as no permanent changes in business expectations were identified; therefore, neither impairment nor reversal of impairment was recognised.</w:t>
      </w:r>
    </w:p>
    <w:p w14:paraId="09013445" w14:textId="77777777" w:rsidR="00D0074F" w:rsidRDefault="00D0074F">
      <w:pPr>
        <w:spacing w:line="276" w:lineRule="auto"/>
        <w:jc w:val="both"/>
        <w:rPr>
          <w:rFonts w:asciiTheme="majorHAnsi" w:hAnsiTheme="majorHAnsi" w:cstheme="majorHAnsi"/>
          <w:sz w:val="22"/>
          <w:szCs w:val="22"/>
        </w:rPr>
      </w:pPr>
    </w:p>
    <w:tbl>
      <w:tblPr>
        <w:tblpPr w:leftFromText="141" w:rightFromText="141" w:vertAnchor="text" w:horzAnchor="margin" w:tblpXSpec="center" w:tblpY="185"/>
        <w:tblW w:w="9360" w:type="dxa"/>
        <w:tblCellMar>
          <w:left w:w="70" w:type="dxa"/>
          <w:right w:w="70" w:type="dxa"/>
        </w:tblCellMar>
        <w:tblLook w:val="04A0" w:firstRow="1" w:lastRow="0" w:firstColumn="1" w:lastColumn="0" w:noHBand="0" w:noVBand="1"/>
      </w:tblPr>
      <w:tblGrid>
        <w:gridCol w:w="5244"/>
        <w:gridCol w:w="1824"/>
        <w:gridCol w:w="465"/>
        <w:gridCol w:w="1827"/>
      </w:tblGrid>
      <w:tr w:rsidR="00D0074F" w14:paraId="262EE33F" w14:textId="77777777">
        <w:trPr>
          <w:trHeight w:val="315"/>
        </w:trPr>
        <w:tc>
          <w:tcPr>
            <w:tcW w:w="5244" w:type="dxa"/>
            <w:tcBorders>
              <w:top w:val="nil"/>
              <w:left w:val="nil"/>
              <w:bottom w:val="nil"/>
              <w:right w:val="nil"/>
            </w:tcBorders>
            <w:noWrap/>
            <w:vAlign w:val="center"/>
            <w:hideMark/>
          </w:tcPr>
          <w:p w14:paraId="0E3EF716" w14:textId="77777777" w:rsidR="00D0074F" w:rsidRDefault="004938E0">
            <w:pPr>
              <w:rPr>
                <w:rFonts w:ascii="Verdana" w:hAnsi="Verdana" w:cstheme="majorHAnsi"/>
                <w:b/>
                <w:color w:val="FF0000"/>
                <w:sz w:val="20"/>
                <w:szCs w:val="20"/>
              </w:rPr>
            </w:pPr>
            <w:r>
              <w:rPr>
                <w:rFonts w:ascii="Verdana" w:hAnsi="Verdana" w:cstheme="majorHAnsi"/>
                <w:b/>
                <w:sz w:val="20"/>
                <w:szCs w:val="20"/>
              </w:rPr>
              <w:t xml:space="preserve">  </w:t>
            </w:r>
          </w:p>
        </w:tc>
        <w:tc>
          <w:tcPr>
            <w:tcW w:w="1824" w:type="dxa"/>
            <w:tcBorders>
              <w:top w:val="nil"/>
              <w:left w:val="nil"/>
              <w:bottom w:val="single" w:sz="8" w:space="0" w:color="auto"/>
              <w:right w:val="nil"/>
            </w:tcBorders>
            <w:noWrap/>
            <w:vAlign w:val="center"/>
            <w:hideMark/>
          </w:tcPr>
          <w:p w14:paraId="2099CD6D"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31 March 2025</w:t>
            </w:r>
          </w:p>
        </w:tc>
        <w:tc>
          <w:tcPr>
            <w:tcW w:w="465" w:type="dxa"/>
            <w:tcBorders>
              <w:top w:val="nil"/>
              <w:left w:val="nil"/>
              <w:bottom w:val="nil"/>
              <w:right w:val="nil"/>
            </w:tcBorders>
            <w:noWrap/>
            <w:vAlign w:val="center"/>
            <w:hideMark/>
          </w:tcPr>
          <w:p w14:paraId="476A9E8C" w14:textId="77777777" w:rsidR="00D0074F" w:rsidRDefault="00D0074F">
            <w:pPr>
              <w:jc w:val="center"/>
              <w:rPr>
                <w:rFonts w:asciiTheme="majorHAnsi" w:hAnsiTheme="majorHAnsi" w:cstheme="majorHAnsi"/>
                <w:color w:val="000000"/>
                <w:sz w:val="22"/>
                <w:szCs w:val="22"/>
              </w:rPr>
            </w:pPr>
          </w:p>
        </w:tc>
        <w:tc>
          <w:tcPr>
            <w:tcW w:w="1827" w:type="dxa"/>
            <w:tcBorders>
              <w:top w:val="nil"/>
              <w:left w:val="nil"/>
              <w:bottom w:val="single" w:sz="8" w:space="0" w:color="auto"/>
              <w:right w:val="nil"/>
            </w:tcBorders>
            <w:noWrap/>
            <w:vAlign w:val="center"/>
            <w:hideMark/>
          </w:tcPr>
          <w:p w14:paraId="6051336E"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31 March 2026</w:t>
            </w:r>
          </w:p>
        </w:tc>
      </w:tr>
      <w:tr w:rsidR="00D0074F" w14:paraId="01DBCEA3" w14:textId="77777777">
        <w:trPr>
          <w:trHeight w:val="300"/>
        </w:trPr>
        <w:tc>
          <w:tcPr>
            <w:tcW w:w="5244" w:type="dxa"/>
            <w:tcBorders>
              <w:top w:val="nil"/>
              <w:left w:val="nil"/>
              <w:bottom w:val="nil"/>
              <w:right w:val="nil"/>
            </w:tcBorders>
            <w:noWrap/>
            <w:vAlign w:val="center"/>
            <w:hideMark/>
          </w:tcPr>
          <w:p w14:paraId="6FD0AB05" w14:textId="77777777" w:rsidR="00D0074F" w:rsidRDefault="00D0074F">
            <w:pPr>
              <w:jc w:val="center"/>
              <w:rPr>
                <w:rFonts w:asciiTheme="majorHAnsi" w:hAnsiTheme="majorHAnsi" w:cstheme="majorHAnsi"/>
                <w:color w:val="000000"/>
                <w:sz w:val="22"/>
                <w:szCs w:val="22"/>
              </w:rPr>
            </w:pPr>
          </w:p>
        </w:tc>
        <w:tc>
          <w:tcPr>
            <w:tcW w:w="1824" w:type="dxa"/>
            <w:tcBorders>
              <w:top w:val="nil"/>
              <w:left w:val="nil"/>
              <w:bottom w:val="nil"/>
              <w:right w:val="nil"/>
            </w:tcBorders>
            <w:noWrap/>
            <w:vAlign w:val="center"/>
            <w:hideMark/>
          </w:tcPr>
          <w:p w14:paraId="333DD56E" w14:textId="77777777" w:rsidR="00D0074F" w:rsidRDefault="00D0074F">
            <w:pPr>
              <w:jc w:val="both"/>
              <w:rPr>
                <w:rFonts w:asciiTheme="majorHAnsi" w:hAnsiTheme="majorHAnsi" w:cstheme="majorHAnsi"/>
                <w:sz w:val="20"/>
                <w:szCs w:val="20"/>
              </w:rPr>
            </w:pPr>
          </w:p>
        </w:tc>
        <w:tc>
          <w:tcPr>
            <w:tcW w:w="465" w:type="dxa"/>
            <w:tcBorders>
              <w:top w:val="nil"/>
              <w:left w:val="nil"/>
              <w:bottom w:val="nil"/>
              <w:right w:val="nil"/>
            </w:tcBorders>
            <w:noWrap/>
            <w:vAlign w:val="center"/>
            <w:hideMark/>
          </w:tcPr>
          <w:p w14:paraId="6631A51D" w14:textId="77777777" w:rsidR="00D0074F" w:rsidRDefault="00D0074F">
            <w:pPr>
              <w:jc w:val="both"/>
              <w:rPr>
                <w:rFonts w:asciiTheme="majorHAnsi" w:hAnsiTheme="majorHAnsi" w:cstheme="majorHAnsi"/>
                <w:sz w:val="20"/>
                <w:szCs w:val="20"/>
              </w:rPr>
            </w:pPr>
          </w:p>
        </w:tc>
        <w:tc>
          <w:tcPr>
            <w:tcW w:w="1827" w:type="dxa"/>
            <w:tcBorders>
              <w:top w:val="nil"/>
              <w:left w:val="nil"/>
              <w:bottom w:val="nil"/>
              <w:right w:val="nil"/>
            </w:tcBorders>
            <w:noWrap/>
            <w:vAlign w:val="center"/>
            <w:hideMark/>
          </w:tcPr>
          <w:p w14:paraId="199846AB" w14:textId="77777777" w:rsidR="00D0074F" w:rsidRDefault="00D0074F">
            <w:pPr>
              <w:jc w:val="both"/>
              <w:rPr>
                <w:rFonts w:asciiTheme="majorHAnsi" w:hAnsiTheme="majorHAnsi" w:cstheme="majorHAnsi"/>
                <w:sz w:val="20"/>
                <w:szCs w:val="20"/>
              </w:rPr>
            </w:pPr>
          </w:p>
        </w:tc>
      </w:tr>
      <w:tr w:rsidR="00D0074F" w14:paraId="5AEDE1AC" w14:textId="77777777">
        <w:trPr>
          <w:trHeight w:val="300"/>
        </w:trPr>
        <w:tc>
          <w:tcPr>
            <w:tcW w:w="5244" w:type="dxa"/>
            <w:tcBorders>
              <w:top w:val="nil"/>
              <w:left w:val="nil"/>
              <w:bottom w:val="nil"/>
              <w:right w:val="nil"/>
            </w:tcBorders>
            <w:noWrap/>
            <w:vAlign w:val="center"/>
            <w:hideMark/>
          </w:tcPr>
          <w:p w14:paraId="689305C0" w14:textId="77777777" w:rsidR="00D0074F" w:rsidRDefault="004938E0">
            <w:pPr>
              <w:jc w:val="both"/>
              <w:rPr>
                <w:rFonts w:asciiTheme="majorHAnsi" w:hAnsiTheme="majorHAnsi" w:cstheme="majorHAnsi"/>
                <w:color w:val="000000"/>
                <w:sz w:val="22"/>
                <w:szCs w:val="22"/>
              </w:rPr>
            </w:pPr>
            <w:r>
              <w:rPr>
                <w:rFonts w:asciiTheme="majorHAnsi" w:hAnsiTheme="majorHAnsi" w:cstheme="majorHAnsi"/>
                <w:color w:val="000000"/>
                <w:sz w:val="22"/>
                <w:szCs w:val="22"/>
              </w:rPr>
              <w:t>ROE (R</w:t>
            </w:r>
            <w:r>
              <w:rPr>
                <w:rFonts w:asciiTheme="majorHAnsi" w:hAnsiTheme="majorHAnsi" w:cstheme="majorHAnsi"/>
                <w:sz w:val="22"/>
                <w:szCs w:val="22"/>
              </w:rPr>
              <w:t>etained profit / Equity</w:t>
            </w:r>
            <w:r>
              <w:rPr>
                <w:rFonts w:asciiTheme="majorHAnsi" w:hAnsiTheme="majorHAnsi" w:cstheme="majorHAnsi"/>
                <w:color w:val="000000"/>
                <w:sz w:val="22"/>
                <w:szCs w:val="22"/>
              </w:rPr>
              <w:t>)</w:t>
            </w:r>
          </w:p>
        </w:tc>
        <w:tc>
          <w:tcPr>
            <w:tcW w:w="1824" w:type="dxa"/>
            <w:tcBorders>
              <w:top w:val="nil"/>
              <w:left w:val="nil"/>
              <w:bottom w:val="nil"/>
              <w:right w:val="nil"/>
            </w:tcBorders>
            <w:noWrap/>
            <w:vAlign w:val="center"/>
            <w:hideMark/>
          </w:tcPr>
          <w:p w14:paraId="6B507BFA"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0,02</w:t>
            </w:r>
          </w:p>
        </w:tc>
        <w:tc>
          <w:tcPr>
            <w:tcW w:w="465" w:type="dxa"/>
            <w:tcBorders>
              <w:top w:val="nil"/>
              <w:left w:val="nil"/>
              <w:bottom w:val="nil"/>
              <w:right w:val="nil"/>
            </w:tcBorders>
            <w:noWrap/>
            <w:vAlign w:val="center"/>
            <w:hideMark/>
          </w:tcPr>
          <w:p w14:paraId="09B125E0" w14:textId="77777777" w:rsidR="00D0074F" w:rsidRDefault="00D0074F">
            <w:pPr>
              <w:jc w:val="center"/>
              <w:rPr>
                <w:rFonts w:asciiTheme="majorHAnsi" w:hAnsiTheme="majorHAnsi" w:cstheme="majorHAnsi"/>
                <w:color w:val="000000"/>
                <w:sz w:val="22"/>
                <w:szCs w:val="22"/>
              </w:rPr>
            </w:pPr>
          </w:p>
        </w:tc>
        <w:tc>
          <w:tcPr>
            <w:tcW w:w="1827" w:type="dxa"/>
            <w:tcBorders>
              <w:top w:val="nil"/>
              <w:left w:val="nil"/>
              <w:bottom w:val="nil"/>
              <w:right w:val="nil"/>
            </w:tcBorders>
            <w:noWrap/>
            <w:vAlign w:val="center"/>
            <w:hideMark/>
          </w:tcPr>
          <w:p w14:paraId="6C06C62F"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0,05</w:t>
            </w:r>
          </w:p>
        </w:tc>
      </w:tr>
      <w:tr w:rsidR="00D0074F" w14:paraId="0AB65FFE" w14:textId="77777777">
        <w:trPr>
          <w:trHeight w:val="300"/>
        </w:trPr>
        <w:tc>
          <w:tcPr>
            <w:tcW w:w="5244" w:type="dxa"/>
            <w:tcBorders>
              <w:top w:val="nil"/>
              <w:left w:val="nil"/>
              <w:bottom w:val="nil"/>
              <w:right w:val="nil"/>
            </w:tcBorders>
            <w:noWrap/>
            <w:vAlign w:val="center"/>
            <w:hideMark/>
          </w:tcPr>
          <w:p w14:paraId="72F77333" w14:textId="77777777" w:rsidR="00D0074F" w:rsidRDefault="004938E0">
            <w:pPr>
              <w:jc w:val="both"/>
              <w:rPr>
                <w:rFonts w:asciiTheme="majorHAnsi" w:hAnsiTheme="majorHAnsi" w:cstheme="majorHAnsi"/>
                <w:color w:val="000000"/>
                <w:sz w:val="22"/>
                <w:szCs w:val="22"/>
              </w:rPr>
            </w:pPr>
            <w:r>
              <w:rPr>
                <w:rFonts w:asciiTheme="majorHAnsi" w:hAnsiTheme="majorHAnsi" w:cstheme="majorHAnsi"/>
                <w:color w:val="000000"/>
                <w:sz w:val="22"/>
                <w:szCs w:val="22"/>
              </w:rPr>
              <w:t>ROA (Retained profit / Assets)</w:t>
            </w:r>
          </w:p>
        </w:tc>
        <w:tc>
          <w:tcPr>
            <w:tcW w:w="1824" w:type="dxa"/>
            <w:tcBorders>
              <w:top w:val="nil"/>
              <w:left w:val="nil"/>
              <w:bottom w:val="nil"/>
              <w:right w:val="nil"/>
            </w:tcBorders>
            <w:noWrap/>
            <w:vAlign w:val="center"/>
            <w:hideMark/>
          </w:tcPr>
          <w:p w14:paraId="1A0B6510"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0,01</w:t>
            </w:r>
          </w:p>
        </w:tc>
        <w:tc>
          <w:tcPr>
            <w:tcW w:w="465" w:type="dxa"/>
            <w:tcBorders>
              <w:top w:val="nil"/>
              <w:left w:val="nil"/>
              <w:bottom w:val="nil"/>
              <w:right w:val="nil"/>
            </w:tcBorders>
            <w:noWrap/>
            <w:vAlign w:val="center"/>
            <w:hideMark/>
          </w:tcPr>
          <w:p w14:paraId="4230E244" w14:textId="77777777" w:rsidR="00D0074F" w:rsidRDefault="00D0074F">
            <w:pPr>
              <w:jc w:val="center"/>
              <w:rPr>
                <w:rFonts w:asciiTheme="majorHAnsi" w:hAnsiTheme="majorHAnsi" w:cstheme="majorHAnsi"/>
                <w:color w:val="000000"/>
                <w:sz w:val="22"/>
                <w:szCs w:val="22"/>
              </w:rPr>
            </w:pPr>
          </w:p>
        </w:tc>
        <w:tc>
          <w:tcPr>
            <w:tcW w:w="1827" w:type="dxa"/>
            <w:tcBorders>
              <w:top w:val="nil"/>
              <w:left w:val="nil"/>
              <w:bottom w:val="nil"/>
              <w:right w:val="nil"/>
            </w:tcBorders>
            <w:noWrap/>
            <w:vAlign w:val="center"/>
            <w:hideMark/>
          </w:tcPr>
          <w:p w14:paraId="6865212B"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0,01</w:t>
            </w:r>
          </w:p>
        </w:tc>
      </w:tr>
      <w:tr w:rsidR="00D0074F" w14:paraId="28FB829D" w14:textId="77777777">
        <w:trPr>
          <w:trHeight w:val="600"/>
        </w:trPr>
        <w:tc>
          <w:tcPr>
            <w:tcW w:w="5244" w:type="dxa"/>
            <w:tcBorders>
              <w:top w:val="nil"/>
              <w:left w:val="nil"/>
              <w:bottom w:val="nil"/>
              <w:right w:val="nil"/>
            </w:tcBorders>
            <w:noWrap/>
            <w:vAlign w:val="center"/>
            <w:hideMark/>
          </w:tcPr>
          <w:p w14:paraId="118D3FEF" w14:textId="77777777" w:rsidR="00D0074F" w:rsidRDefault="004938E0">
            <w:pPr>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Adjusted ROA ((Operating profit + Interest paid) / Assets) </w:t>
            </w:r>
          </w:p>
        </w:tc>
        <w:tc>
          <w:tcPr>
            <w:tcW w:w="1824" w:type="dxa"/>
            <w:tcBorders>
              <w:top w:val="nil"/>
              <w:left w:val="nil"/>
              <w:bottom w:val="nil"/>
              <w:right w:val="nil"/>
            </w:tcBorders>
            <w:noWrap/>
            <w:vAlign w:val="center"/>
            <w:hideMark/>
          </w:tcPr>
          <w:p w14:paraId="72DA7130"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0,03</w:t>
            </w:r>
          </w:p>
        </w:tc>
        <w:tc>
          <w:tcPr>
            <w:tcW w:w="465" w:type="dxa"/>
            <w:tcBorders>
              <w:top w:val="nil"/>
              <w:left w:val="nil"/>
              <w:bottom w:val="nil"/>
              <w:right w:val="nil"/>
            </w:tcBorders>
            <w:noWrap/>
            <w:vAlign w:val="center"/>
            <w:hideMark/>
          </w:tcPr>
          <w:p w14:paraId="41353593" w14:textId="77777777" w:rsidR="00D0074F" w:rsidRDefault="00D0074F">
            <w:pPr>
              <w:jc w:val="center"/>
              <w:rPr>
                <w:rFonts w:asciiTheme="majorHAnsi" w:hAnsiTheme="majorHAnsi" w:cstheme="majorHAnsi"/>
                <w:color w:val="000000"/>
                <w:sz w:val="22"/>
                <w:szCs w:val="22"/>
              </w:rPr>
            </w:pPr>
          </w:p>
        </w:tc>
        <w:tc>
          <w:tcPr>
            <w:tcW w:w="1827" w:type="dxa"/>
            <w:tcBorders>
              <w:top w:val="nil"/>
              <w:left w:val="nil"/>
              <w:bottom w:val="nil"/>
              <w:right w:val="nil"/>
            </w:tcBorders>
            <w:noWrap/>
            <w:vAlign w:val="center"/>
            <w:hideMark/>
          </w:tcPr>
          <w:p w14:paraId="31551B0D"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0,02</w:t>
            </w:r>
          </w:p>
        </w:tc>
      </w:tr>
      <w:tr w:rsidR="00D0074F" w14:paraId="3363B179" w14:textId="77777777">
        <w:trPr>
          <w:trHeight w:val="600"/>
        </w:trPr>
        <w:tc>
          <w:tcPr>
            <w:tcW w:w="5244" w:type="dxa"/>
            <w:tcBorders>
              <w:top w:val="nil"/>
              <w:left w:val="nil"/>
              <w:bottom w:val="nil"/>
              <w:right w:val="nil"/>
            </w:tcBorders>
            <w:noWrap/>
            <w:vAlign w:val="center"/>
            <w:hideMark/>
          </w:tcPr>
          <w:p w14:paraId="53CE800D" w14:textId="77777777" w:rsidR="00D0074F" w:rsidRDefault="004938E0">
            <w:pPr>
              <w:jc w:val="both"/>
              <w:rPr>
                <w:rFonts w:asciiTheme="majorHAnsi" w:hAnsiTheme="majorHAnsi" w:cstheme="majorHAnsi"/>
                <w:color w:val="000000"/>
                <w:sz w:val="22"/>
                <w:szCs w:val="22"/>
              </w:rPr>
            </w:pPr>
            <w:r>
              <w:rPr>
                <w:rFonts w:asciiTheme="majorHAnsi" w:hAnsiTheme="majorHAnsi" w:cstheme="majorHAnsi"/>
                <w:color w:val="000000"/>
                <w:sz w:val="22"/>
                <w:szCs w:val="22"/>
              </w:rPr>
              <w:t>Turnover of assets (Revenue / Assets)</w:t>
            </w:r>
          </w:p>
        </w:tc>
        <w:tc>
          <w:tcPr>
            <w:tcW w:w="1824" w:type="dxa"/>
            <w:tcBorders>
              <w:top w:val="nil"/>
              <w:left w:val="nil"/>
              <w:bottom w:val="nil"/>
              <w:right w:val="nil"/>
            </w:tcBorders>
            <w:noWrap/>
            <w:vAlign w:val="center"/>
            <w:hideMark/>
          </w:tcPr>
          <w:p w14:paraId="34134359"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1,29</w:t>
            </w:r>
          </w:p>
        </w:tc>
        <w:tc>
          <w:tcPr>
            <w:tcW w:w="465" w:type="dxa"/>
            <w:tcBorders>
              <w:top w:val="nil"/>
              <w:left w:val="nil"/>
              <w:bottom w:val="nil"/>
              <w:right w:val="nil"/>
            </w:tcBorders>
            <w:noWrap/>
            <w:vAlign w:val="center"/>
            <w:hideMark/>
          </w:tcPr>
          <w:p w14:paraId="620B71E4" w14:textId="77777777" w:rsidR="00D0074F" w:rsidRDefault="00D0074F">
            <w:pPr>
              <w:jc w:val="center"/>
              <w:rPr>
                <w:rFonts w:asciiTheme="majorHAnsi" w:hAnsiTheme="majorHAnsi" w:cstheme="majorHAnsi"/>
                <w:color w:val="000000"/>
                <w:sz w:val="22"/>
                <w:szCs w:val="22"/>
              </w:rPr>
            </w:pPr>
          </w:p>
        </w:tc>
        <w:tc>
          <w:tcPr>
            <w:tcW w:w="1827" w:type="dxa"/>
            <w:tcBorders>
              <w:top w:val="nil"/>
              <w:left w:val="nil"/>
              <w:bottom w:val="nil"/>
              <w:right w:val="nil"/>
            </w:tcBorders>
            <w:noWrap/>
            <w:vAlign w:val="center"/>
            <w:hideMark/>
          </w:tcPr>
          <w:p w14:paraId="6C1D1962"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1,15</w:t>
            </w:r>
          </w:p>
        </w:tc>
      </w:tr>
      <w:tr w:rsidR="00D0074F" w14:paraId="56D5D939" w14:textId="77777777">
        <w:trPr>
          <w:trHeight w:val="600"/>
        </w:trPr>
        <w:tc>
          <w:tcPr>
            <w:tcW w:w="5244" w:type="dxa"/>
            <w:tcBorders>
              <w:top w:val="nil"/>
              <w:left w:val="nil"/>
              <w:bottom w:val="nil"/>
              <w:right w:val="nil"/>
            </w:tcBorders>
            <w:noWrap/>
            <w:vAlign w:val="center"/>
            <w:hideMark/>
          </w:tcPr>
          <w:p w14:paraId="129C45F4" w14:textId="77777777" w:rsidR="00D0074F" w:rsidRDefault="004938E0">
            <w:pPr>
              <w:jc w:val="both"/>
              <w:rPr>
                <w:rFonts w:asciiTheme="majorHAnsi" w:hAnsiTheme="majorHAnsi" w:cstheme="majorHAnsi"/>
                <w:color w:val="000000"/>
                <w:sz w:val="22"/>
                <w:szCs w:val="22"/>
              </w:rPr>
            </w:pPr>
            <w:r>
              <w:rPr>
                <w:rFonts w:asciiTheme="majorHAnsi" w:hAnsiTheme="majorHAnsi" w:cstheme="majorHAnsi"/>
                <w:color w:val="000000"/>
                <w:sz w:val="22"/>
                <w:szCs w:val="22"/>
              </w:rPr>
              <w:t>Operating margin (Operating profit / Revenue)</w:t>
            </w:r>
          </w:p>
        </w:tc>
        <w:tc>
          <w:tcPr>
            <w:tcW w:w="1824" w:type="dxa"/>
            <w:tcBorders>
              <w:top w:val="nil"/>
              <w:left w:val="nil"/>
              <w:bottom w:val="nil"/>
              <w:right w:val="nil"/>
            </w:tcBorders>
            <w:noWrap/>
            <w:vAlign w:val="center"/>
            <w:hideMark/>
          </w:tcPr>
          <w:p w14:paraId="103450B3"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0,01</w:t>
            </w:r>
          </w:p>
        </w:tc>
        <w:tc>
          <w:tcPr>
            <w:tcW w:w="465" w:type="dxa"/>
            <w:tcBorders>
              <w:top w:val="nil"/>
              <w:left w:val="nil"/>
              <w:bottom w:val="nil"/>
              <w:right w:val="nil"/>
            </w:tcBorders>
            <w:noWrap/>
            <w:vAlign w:val="center"/>
            <w:hideMark/>
          </w:tcPr>
          <w:p w14:paraId="42089933" w14:textId="77777777" w:rsidR="00D0074F" w:rsidRDefault="00D0074F">
            <w:pPr>
              <w:jc w:val="center"/>
              <w:rPr>
                <w:rFonts w:asciiTheme="majorHAnsi" w:hAnsiTheme="majorHAnsi" w:cstheme="majorHAnsi"/>
                <w:color w:val="000000"/>
                <w:sz w:val="22"/>
                <w:szCs w:val="22"/>
              </w:rPr>
            </w:pPr>
          </w:p>
        </w:tc>
        <w:tc>
          <w:tcPr>
            <w:tcW w:w="1827" w:type="dxa"/>
            <w:tcBorders>
              <w:top w:val="nil"/>
              <w:left w:val="nil"/>
              <w:bottom w:val="nil"/>
              <w:right w:val="nil"/>
            </w:tcBorders>
            <w:noWrap/>
            <w:vAlign w:val="center"/>
            <w:hideMark/>
          </w:tcPr>
          <w:p w14:paraId="5EEA1FE1" w14:textId="77777777" w:rsidR="00D0074F" w:rsidRDefault="004938E0">
            <w:pPr>
              <w:jc w:val="center"/>
              <w:rPr>
                <w:rFonts w:asciiTheme="majorHAnsi" w:hAnsiTheme="majorHAnsi" w:cstheme="majorHAnsi"/>
                <w:color w:val="000000"/>
                <w:sz w:val="22"/>
                <w:szCs w:val="22"/>
              </w:rPr>
            </w:pPr>
            <w:r>
              <w:rPr>
                <w:rFonts w:asciiTheme="majorHAnsi" w:hAnsiTheme="majorHAnsi" w:cstheme="majorHAnsi"/>
                <w:color w:val="000000"/>
                <w:sz w:val="22"/>
                <w:szCs w:val="22"/>
              </w:rPr>
              <w:t>0,00</w:t>
            </w:r>
          </w:p>
        </w:tc>
      </w:tr>
    </w:tbl>
    <w:p w14:paraId="64FB3B6B" w14:textId="77777777" w:rsidR="00D0074F" w:rsidRDefault="00D0074F">
      <w:pPr>
        <w:spacing w:line="276" w:lineRule="auto"/>
        <w:ind w:right="47"/>
        <w:jc w:val="both"/>
        <w:rPr>
          <w:rFonts w:asciiTheme="majorHAnsi" w:hAnsiTheme="majorHAnsi" w:cstheme="majorHAnsi"/>
          <w:color w:val="FF0000"/>
          <w:sz w:val="22"/>
          <w:szCs w:val="22"/>
          <w:lang w:val="hu-HU"/>
        </w:rPr>
      </w:pPr>
    </w:p>
    <w:p w14:paraId="15235E4D" w14:textId="77777777" w:rsidR="00D0074F" w:rsidRDefault="00D0074F">
      <w:pPr>
        <w:spacing w:line="276" w:lineRule="auto"/>
        <w:ind w:right="47"/>
        <w:jc w:val="both"/>
        <w:rPr>
          <w:rFonts w:asciiTheme="majorHAnsi" w:hAnsiTheme="majorHAnsi" w:cstheme="majorHAnsi"/>
          <w:sz w:val="22"/>
          <w:szCs w:val="22"/>
          <w:lang w:val="hu-HU"/>
        </w:rPr>
      </w:pPr>
    </w:p>
    <w:p w14:paraId="08E56F11" w14:textId="77777777" w:rsidR="00D0074F" w:rsidRDefault="004938E0">
      <w:pPr>
        <w:spacing w:line="276" w:lineRule="auto"/>
        <w:ind w:right="47"/>
        <w:jc w:val="both"/>
        <w:rPr>
          <w:rFonts w:asciiTheme="majorHAnsi" w:hAnsiTheme="majorHAnsi" w:cstheme="majorHAnsi"/>
          <w:sz w:val="22"/>
          <w:szCs w:val="22"/>
        </w:rPr>
      </w:pPr>
      <w:r>
        <w:rPr>
          <w:rFonts w:asciiTheme="majorHAnsi" w:hAnsiTheme="majorHAnsi" w:cstheme="majorHAnsi"/>
          <w:sz w:val="22"/>
          <w:szCs w:val="22"/>
        </w:rPr>
        <w:t>Thanks to a high degree of automation, the delivery of the Company's contracts did not face significant labour market challenges.</w:t>
      </w:r>
    </w:p>
    <w:p w14:paraId="64E29067" w14:textId="77777777" w:rsidR="00D0074F" w:rsidRDefault="00D0074F">
      <w:pPr>
        <w:spacing w:line="276" w:lineRule="auto"/>
        <w:ind w:right="47"/>
        <w:jc w:val="both"/>
        <w:rPr>
          <w:rFonts w:asciiTheme="majorHAnsi" w:hAnsiTheme="majorHAnsi" w:cstheme="majorHAnsi"/>
          <w:sz w:val="22"/>
          <w:szCs w:val="22"/>
          <w:lang w:val="hu-HU"/>
        </w:rPr>
      </w:pPr>
    </w:p>
    <w:p w14:paraId="62CAA638" w14:textId="77777777" w:rsidR="00D0074F" w:rsidRDefault="00D0074F">
      <w:pPr>
        <w:spacing w:line="276" w:lineRule="auto"/>
        <w:ind w:right="47"/>
        <w:jc w:val="both"/>
        <w:rPr>
          <w:rFonts w:asciiTheme="majorHAnsi" w:hAnsiTheme="majorHAnsi" w:cstheme="majorHAnsi"/>
          <w:sz w:val="22"/>
          <w:szCs w:val="22"/>
          <w:lang w:val="hu-HU"/>
        </w:rPr>
      </w:pPr>
    </w:p>
    <w:p w14:paraId="13579447" w14:textId="77777777" w:rsidR="00D0074F" w:rsidRDefault="004938E0">
      <w:pPr>
        <w:spacing w:line="276" w:lineRule="auto"/>
        <w:ind w:right="47"/>
        <w:jc w:val="both"/>
        <w:rPr>
          <w:rFonts w:asciiTheme="majorHAnsi" w:hAnsiTheme="majorHAnsi" w:cstheme="majorHAnsi"/>
          <w:b/>
          <w:bCs/>
          <w:sz w:val="22"/>
          <w:szCs w:val="22"/>
        </w:rPr>
      </w:pPr>
      <w:r>
        <w:rPr>
          <w:rFonts w:asciiTheme="majorHAnsi" w:hAnsiTheme="majorHAnsi" w:cstheme="majorHAnsi"/>
          <w:b/>
          <w:bCs/>
          <w:sz w:val="22"/>
          <w:szCs w:val="22"/>
        </w:rPr>
        <w:t>Business Performance:</w:t>
      </w:r>
    </w:p>
    <w:p w14:paraId="21E02AC8" w14:textId="77777777" w:rsidR="00D0074F" w:rsidRDefault="004938E0">
      <w:pPr>
        <w:numPr>
          <w:ilvl w:val="0"/>
          <w:numId w:val="1"/>
        </w:numPr>
        <w:spacing w:line="276" w:lineRule="auto"/>
        <w:ind w:right="47"/>
        <w:jc w:val="both"/>
        <w:rPr>
          <w:rFonts w:asciiTheme="majorHAnsi" w:hAnsiTheme="majorHAnsi" w:cstheme="majorHAnsi"/>
          <w:sz w:val="22"/>
          <w:szCs w:val="22"/>
        </w:rPr>
      </w:pPr>
      <w:r>
        <w:rPr>
          <w:rFonts w:asciiTheme="majorHAnsi" w:hAnsiTheme="majorHAnsi" w:cstheme="majorHAnsi"/>
          <w:b/>
          <w:bCs/>
          <w:sz w:val="22"/>
          <w:szCs w:val="22"/>
        </w:rPr>
        <w:t>Automotive business:</w:t>
      </w:r>
    </w:p>
    <w:p w14:paraId="2FD5FCF8" w14:textId="77777777" w:rsidR="00D0074F" w:rsidRDefault="004938E0">
      <w:pPr>
        <w:pStyle w:val="ListParagraph"/>
        <w:spacing w:line="276" w:lineRule="auto"/>
        <w:ind w:right="47"/>
        <w:jc w:val="both"/>
        <w:rPr>
          <w:rFonts w:asciiTheme="majorHAnsi" w:hAnsiTheme="majorHAnsi" w:cstheme="majorHAnsi"/>
          <w:sz w:val="22"/>
          <w:szCs w:val="22"/>
        </w:rPr>
      </w:pPr>
      <w:r>
        <w:rPr>
          <w:rFonts w:asciiTheme="majorHAnsi" w:hAnsiTheme="majorHAnsi" w:cstheme="majorHAnsi"/>
          <w:sz w:val="22"/>
          <w:szCs w:val="22"/>
        </w:rPr>
        <w:t xml:space="preserve">The Automotive business underwent a structural transformation during the financial year. The gradual phase-out of programmes related to previous-generation products is increasingly being offset by projects linked to new technologies and electromobility. </w:t>
      </w:r>
    </w:p>
    <w:p w14:paraId="3F56866B" w14:textId="77777777" w:rsidR="00D0074F" w:rsidRDefault="004938E0">
      <w:pPr>
        <w:numPr>
          <w:ilvl w:val="0"/>
          <w:numId w:val="1"/>
        </w:numPr>
        <w:spacing w:line="276" w:lineRule="auto"/>
        <w:ind w:right="47"/>
        <w:jc w:val="both"/>
        <w:rPr>
          <w:rFonts w:asciiTheme="majorHAnsi" w:hAnsiTheme="majorHAnsi" w:cstheme="majorHAnsi"/>
          <w:sz w:val="22"/>
          <w:szCs w:val="22"/>
        </w:rPr>
      </w:pPr>
      <w:r>
        <w:rPr>
          <w:rFonts w:asciiTheme="majorHAnsi" w:hAnsiTheme="majorHAnsi" w:cstheme="majorHAnsi"/>
          <w:b/>
          <w:bCs/>
          <w:sz w:val="22"/>
          <w:szCs w:val="22"/>
        </w:rPr>
        <w:t>Industrial products:</w:t>
      </w:r>
    </w:p>
    <w:p w14:paraId="756F85EB" w14:textId="77777777" w:rsidR="00D0074F" w:rsidRDefault="004938E0">
      <w:pPr>
        <w:spacing w:line="276" w:lineRule="auto"/>
        <w:ind w:left="720" w:right="47"/>
        <w:jc w:val="both"/>
        <w:rPr>
          <w:rFonts w:asciiTheme="majorHAnsi" w:hAnsiTheme="majorHAnsi" w:cstheme="majorHAnsi"/>
          <w:sz w:val="22"/>
          <w:szCs w:val="22"/>
        </w:rPr>
      </w:pPr>
      <w:r>
        <w:rPr>
          <w:rFonts w:asciiTheme="majorHAnsi" w:hAnsiTheme="majorHAnsi" w:cstheme="majorHAnsi"/>
          <w:sz w:val="22"/>
          <w:szCs w:val="22"/>
        </w:rPr>
        <w:t>Revenue in the Industrial business decreased during the financial year, primarily due to lower volumes in programmes related to certain traditional industrial and consumer applications.</w:t>
      </w:r>
    </w:p>
    <w:p w14:paraId="52717A69" w14:textId="77777777" w:rsidR="00D0074F" w:rsidRDefault="004938E0">
      <w:pPr>
        <w:numPr>
          <w:ilvl w:val="0"/>
          <w:numId w:val="1"/>
        </w:numPr>
        <w:spacing w:line="276" w:lineRule="auto"/>
        <w:ind w:right="47"/>
        <w:jc w:val="both"/>
        <w:rPr>
          <w:rFonts w:asciiTheme="majorHAnsi" w:hAnsiTheme="majorHAnsi" w:cstheme="majorHAnsi"/>
          <w:sz w:val="22"/>
          <w:szCs w:val="22"/>
        </w:rPr>
      </w:pPr>
      <w:r>
        <w:rPr>
          <w:rFonts w:asciiTheme="majorHAnsi" w:hAnsiTheme="majorHAnsi" w:cstheme="majorHAnsi"/>
          <w:b/>
          <w:bCs/>
          <w:sz w:val="22"/>
          <w:szCs w:val="22"/>
        </w:rPr>
        <w:t>Lifestyle business:</w:t>
      </w:r>
    </w:p>
    <w:p w14:paraId="6671F9AA" w14:textId="77777777" w:rsidR="00D0074F" w:rsidRDefault="004938E0">
      <w:pPr>
        <w:spacing w:line="276" w:lineRule="auto"/>
        <w:ind w:left="720" w:right="47"/>
        <w:jc w:val="both"/>
        <w:rPr>
          <w:rFonts w:asciiTheme="majorHAnsi" w:hAnsiTheme="majorHAnsi" w:cstheme="majorHAnsi"/>
          <w:sz w:val="22"/>
          <w:szCs w:val="22"/>
        </w:rPr>
      </w:pPr>
      <w:r>
        <w:rPr>
          <w:rFonts w:asciiTheme="majorHAnsi" w:hAnsiTheme="majorHAnsi" w:cstheme="majorHAnsi"/>
          <w:sz w:val="22"/>
          <w:szCs w:val="22"/>
        </w:rPr>
        <w:t>The performance of the Lifestyle business declined significantly during the financial year. The primary reason for the decrease in revenue was weaker European demand for a major consumer product programme.</w:t>
      </w:r>
    </w:p>
    <w:p w14:paraId="3D83E1B3" w14:textId="77777777" w:rsidR="00D0074F" w:rsidRDefault="004938E0">
      <w:pPr>
        <w:pStyle w:val="ListParagraph"/>
        <w:numPr>
          <w:ilvl w:val="0"/>
          <w:numId w:val="1"/>
        </w:numPr>
        <w:spacing w:line="276" w:lineRule="auto"/>
        <w:ind w:right="47"/>
        <w:jc w:val="both"/>
        <w:rPr>
          <w:rFonts w:asciiTheme="majorHAnsi" w:hAnsiTheme="majorHAnsi" w:cstheme="majorHAnsi"/>
          <w:sz w:val="22"/>
          <w:szCs w:val="22"/>
          <w:lang w:val="hu-HU"/>
        </w:rPr>
      </w:pPr>
      <w:r>
        <w:rPr>
          <w:rFonts w:asciiTheme="majorHAnsi" w:hAnsiTheme="majorHAnsi" w:cstheme="majorHAnsi"/>
          <w:b/>
          <w:bCs/>
          <w:sz w:val="22"/>
          <w:szCs w:val="22"/>
        </w:rPr>
        <w:t>Medical business:</w:t>
      </w:r>
    </w:p>
    <w:p w14:paraId="07765BEF" w14:textId="77777777" w:rsidR="00D0074F" w:rsidRDefault="004938E0">
      <w:pPr>
        <w:pStyle w:val="ListParagraph"/>
        <w:spacing w:line="276" w:lineRule="auto"/>
        <w:ind w:right="47"/>
        <w:jc w:val="both"/>
        <w:rPr>
          <w:rFonts w:asciiTheme="majorHAnsi" w:hAnsiTheme="majorHAnsi" w:cstheme="majorHAnsi"/>
          <w:sz w:val="22"/>
          <w:szCs w:val="22"/>
        </w:rPr>
      </w:pPr>
      <w:bookmarkStart w:id="1" w:name="diff_3"/>
      <w:r>
        <w:rPr>
          <w:rFonts w:asciiTheme="majorHAnsi" w:hAnsiTheme="majorHAnsi" w:cstheme="majorHAnsi"/>
          <w:sz w:val="22"/>
          <w:szCs w:val="22"/>
        </w:rPr>
        <w:t>The Medical segment continues to develop favourably as new projects gradually ramp up, further increasing the proportion of high value-added, technology-intensive and knowledge-intensive products within the product mix.</w:t>
      </w:r>
      <w:bookmarkEnd w:id="1"/>
    </w:p>
    <w:p w14:paraId="62B19360" w14:textId="77777777" w:rsidR="00D0074F" w:rsidRDefault="00D0074F">
      <w:pPr>
        <w:pStyle w:val="ListParagraph"/>
        <w:spacing w:line="276" w:lineRule="auto"/>
        <w:ind w:right="47"/>
        <w:jc w:val="both"/>
        <w:rPr>
          <w:rFonts w:asciiTheme="majorHAnsi" w:hAnsiTheme="majorHAnsi" w:cstheme="majorHAnsi"/>
          <w:sz w:val="22"/>
          <w:szCs w:val="22"/>
          <w:lang w:val="hu-HU"/>
        </w:rPr>
      </w:pPr>
    </w:p>
    <w:p w14:paraId="516FA284" w14:textId="77777777" w:rsidR="00D0074F" w:rsidRDefault="00D0074F">
      <w:pPr>
        <w:spacing w:line="276" w:lineRule="auto"/>
        <w:jc w:val="both"/>
        <w:rPr>
          <w:rFonts w:asciiTheme="majorHAnsi" w:hAnsiTheme="majorHAnsi" w:cstheme="majorHAnsi"/>
          <w:sz w:val="22"/>
          <w:szCs w:val="22"/>
          <w:lang w:val="hu-HU"/>
        </w:rPr>
      </w:pPr>
    </w:p>
    <w:p w14:paraId="42BA7739" w14:textId="77777777" w:rsidR="00D0074F" w:rsidRDefault="004938E0">
      <w:pPr>
        <w:spacing w:line="276" w:lineRule="auto"/>
        <w:jc w:val="both"/>
        <w:rPr>
          <w:rFonts w:asciiTheme="majorHAnsi" w:hAnsiTheme="majorHAnsi" w:cstheme="majorHAnsi"/>
          <w:color w:val="000000"/>
          <w:sz w:val="22"/>
          <w:szCs w:val="22"/>
        </w:rPr>
      </w:pPr>
      <w:bookmarkStart w:id="2" w:name="diff_2"/>
      <w:r>
        <w:rPr>
          <w:rFonts w:asciiTheme="majorHAnsi" w:hAnsiTheme="majorHAnsi" w:cstheme="majorHAnsi"/>
          <w:color w:val="000000"/>
          <w:sz w:val="22"/>
          <w:szCs w:val="22"/>
        </w:rPr>
        <w:t>Financing of Flextronics International Kft. remains stable. Our XBOND bond provides sufficient funding and, in order to</w:t>
      </w:r>
      <w:r>
        <w:rPr>
          <w:rFonts w:asciiTheme="majorHAnsi" w:hAnsiTheme="majorHAnsi" w:cstheme="majorHAnsi"/>
          <w:color w:val="000000"/>
          <w:sz w:val="22"/>
          <w:szCs w:val="22"/>
        </w:rPr>
        <w:t xml:space="preserve"> ensure efficient financing, the Company also operates a cash pool system. Therefore, receivables and liabilities related to financing are typically due from or payable to affiliated companies, and the Hungarian company does not typically use bank financing.</w:t>
      </w:r>
      <w:bookmarkEnd w:id="2"/>
    </w:p>
    <w:p w14:paraId="067C9450" w14:textId="77777777" w:rsidR="00D0074F" w:rsidRDefault="00D0074F">
      <w:pPr>
        <w:spacing w:line="276" w:lineRule="auto"/>
        <w:jc w:val="both"/>
        <w:rPr>
          <w:rFonts w:asciiTheme="majorHAnsi" w:hAnsiTheme="majorHAnsi" w:cstheme="majorHAnsi"/>
          <w:sz w:val="22"/>
          <w:szCs w:val="22"/>
          <w:lang w:val="hu-HU"/>
        </w:rPr>
      </w:pPr>
    </w:p>
    <w:p w14:paraId="745262ED"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Our Company has an ISO 9001 certified quality management system, IATF 16949 certification in the relevant plants, ISO 14001 environmental certification and the full ISO 45001 certification of our plants is in progress. Environmental protection is important to us not only during our manufacturing processes but also with respect to our products, for which we continuously monitor and comply with the applicable European Union directives, regulations and Hungarian legislation.</w:t>
      </w:r>
    </w:p>
    <w:p w14:paraId="17AA2233"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During the financial year, the Company completed the preparatory activities related to its compliance obligations arising from the Hungarian ESG Act, including the implementation of the required due diligence procedures, supplier questionnaires and data collection activities. The necessary information was collected and processed in accordance with the applicable legal requirements.</w:t>
      </w:r>
    </w:p>
    <w:p w14:paraId="74EEBAFE"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The related independent certification and verification procedures will be carried out during 2026, following the preparation of the financial statements, in accordance with the statutory timetable.</w:t>
      </w:r>
    </w:p>
    <w:p w14:paraId="05889285"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The Company is committed to continuous compliance with ESG requirements and has established its sustainability data collection, risk assessment and supplier due diligence processes. Certification of these processes is expected during 2026 following the completion of the financial statements.</w:t>
      </w:r>
    </w:p>
    <w:p w14:paraId="6369AFB0" w14:textId="77777777" w:rsidR="00D0074F" w:rsidRDefault="00D0074F">
      <w:pPr>
        <w:spacing w:line="276" w:lineRule="auto"/>
        <w:jc w:val="both"/>
        <w:rPr>
          <w:rFonts w:asciiTheme="majorHAnsi" w:hAnsiTheme="majorHAnsi" w:cstheme="majorHAnsi"/>
          <w:sz w:val="22"/>
          <w:szCs w:val="22"/>
          <w:lang w:val="hu-HU"/>
        </w:rPr>
      </w:pPr>
    </w:p>
    <w:p w14:paraId="6885D5B1" w14:textId="77777777" w:rsidR="00D0074F" w:rsidRDefault="004938E0">
      <w:pPr>
        <w:spacing w:line="276" w:lineRule="auto"/>
        <w:jc w:val="both"/>
        <w:rPr>
          <w:rFonts w:asciiTheme="majorHAnsi" w:hAnsiTheme="majorHAnsi" w:cstheme="majorHAnsi"/>
          <w:color w:val="000000"/>
          <w:sz w:val="22"/>
          <w:szCs w:val="22"/>
        </w:rPr>
      </w:pPr>
      <w:bookmarkStart w:id="3" w:name="diff_4"/>
      <w:r>
        <w:rPr>
          <w:rFonts w:asciiTheme="majorHAnsi" w:hAnsiTheme="majorHAnsi" w:cstheme="majorHAnsi"/>
          <w:color w:val="000000"/>
          <w:sz w:val="22"/>
          <w:szCs w:val="22"/>
        </w:rPr>
        <w:t>The development centre in Budapest is engaged in research and product development activities. They are specialised in network communication tools and high-level self-driving systems.</w:t>
      </w:r>
      <w:bookmarkEnd w:id="3"/>
    </w:p>
    <w:p w14:paraId="7163D093" w14:textId="77777777" w:rsidR="00D0074F" w:rsidRDefault="00D0074F">
      <w:pPr>
        <w:spacing w:line="276" w:lineRule="auto"/>
        <w:jc w:val="both"/>
        <w:rPr>
          <w:rFonts w:asciiTheme="majorHAnsi" w:hAnsiTheme="majorHAnsi" w:cstheme="majorHAnsi"/>
          <w:sz w:val="22"/>
          <w:szCs w:val="22"/>
          <w:lang w:val="hu-HU"/>
        </w:rPr>
      </w:pPr>
    </w:p>
    <w:p w14:paraId="1D45791C"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In addition to the quality assurance systems mentioned above, as a consolidated subsidiary, the Hungarian branches operate a strict business control environment in compliance with the requirements of the Sarbanes-Oxley Act.</w:t>
      </w:r>
    </w:p>
    <w:p w14:paraId="0D43FB9F" w14:textId="77777777" w:rsidR="00D0074F" w:rsidRDefault="00D0074F">
      <w:pPr>
        <w:spacing w:line="276" w:lineRule="auto"/>
        <w:jc w:val="both"/>
        <w:rPr>
          <w:rFonts w:asciiTheme="majorHAnsi" w:hAnsiTheme="majorHAnsi" w:cstheme="majorHAnsi"/>
          <w:sz w:val="22"/>
          <w:szCs w:val="22"/>
          <w:lang w:val="hu-HU"/>
        </w:rPr>
      </w:pPr>
    </w:p>
    <w:p w14:paraId="0418AB14"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In connection with the planned spin-off process announced by the Group, based on the information currently available to the Company, the expected impact on the Hungarian operations is not significant. The changes identified so far are primarily limited to the organisational reassignment of certain regional employees.</w:t>
      </w:r>
    </w:p>
    <w:p w14:paraId="4167C71A"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No material changes are currently expected in the Company's operations, financing structure or business activities. Should any circumstance arise in the future that may have a material impact on the Company's position, the Company will provide appropriate disclosure in accordance with the applicable legal requirements.</w:t>
      </w:r>
    </w:p>
    <w:p w14:paraId="454E0A0F" w14:textId="77777777" w:rsidR="00D0074F" w:rsidRDefault="00D0074F">
      <w:pPr>
        <w:spacing w:line="276" w:lineRule="auto"/>
        <w:jc w:val="both"/>
        <w:rPr>
          <w:rFonts w:asciiTheme="majorHAnsi" w:hAnsiTheme="majorHAnsi" w:cstheme="majorHAnsi"/>
          <w:color w:val="000000"/>
          <w:sz w:val="22"/>
          <w:szCs w:val="22"/>
        </w:rPr>
      </w:pPr>
    </w:p>
    <w:p w14:paraId="5DE4C494" w14:textId="77777777" w:rsidR="00D0074F" w:rsidRDefault="004938E0">
      <w:pPr>
        <w:spacing w:line="276"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No major events occurred subsequent to the balance sheet date that could have influenced the data disclosed in the financial statements.</w:t>
      </w:r>
    </w:p>
    <w:p w14:paraId="2C564785" w14:textId="77777777" w:rsidR="00D0074F" w:rsidRDefault="00D0074F">
      <w:pPr>
        <w:spacing w:line="276" w:lineRule="auto"/>
        <w:jc w:val="both"/>
        <w:rPr>
          <w:rFonts w:asciiTheme="majorHAnsi" w:hAnsiTheme="majorHAnsi" w:cstheme="majorHAnsi"/>
          <w:sz w:val="22"/>
          <w:szCs w:val="22"/>
          <w:lang w:val="hu-HU"/>
        </w:rPr>
      </w:pPr>
    </w:p>
    <w:p w14:paraId="0502866C" w14:textId="77777777" w:rsidR="00D0074F" w:rsidRDefault="00D0074F">
      <w:pPr>
        <w:spacing w:line="276" w:lineRule="auto"/>
        <w:jc w:val="both"/>
        <w:rPr>
          <w:rFonts w:asciiTheme="majorHAnsi" w:hAnsiTheme="majorHAnsi" w:cstheme="majorHAnsi"/>
          <w:sz w:val="22"/>
          <w:szCs w:val="22"/>
          <w:lang w:val="hu-HU"/>
        </w:rPr>
      </w:pPr>
    </w:p>
    <w:p w14:paraId="4CEB8D30"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lang w:val="hu-HU"/>
        </w:rPr>
        <w:t xml:space="preserve">Tab, </w:t>
      </w:r>
      <w:r>
        <w:rPr>
          <w:rFonts w:asciiTheme="majorHAnsi" w:hAnsiTheme="majorHAnsi" w:cstheme="majorHAnsi"/>
          <w:sz w:val="22"/>
          <w:szCs w:val="22"/>
        </w:rPr>
        <w:t>28 July 2026</w:t>
      </w:r>
    </w:p>
    <w:p w14:paraId="03944DDF" w14:textId="77777777" w:rsidR="00D0074F" w:rsidRDefault="00D0074F">
      <w:pPr>
        <w:spacing w:line="276" w:lineRule="auto"/>
        <w:jc w:val="both"/>
        <w:rPr>
          <w:rFonts w:asciiTheme="majorHAnsi" w:hAnsiTheme="majorHAnsi" w:cstheme="majorHAnsi"/>
          <w:sz w:val="22"/>
          <w:szCs w:val="22"/>
          <w:lang w:val="hu-HU"/>
        </w:rPr>
      </w:pPr>
    </w:p>
    <w:p w14:paraId="6B7C18E9" w14:textId="77777777" w:rsidR="00D0074F" w:rsidRDefault="00D0074F">
      <w:pPr>
        <w:ind w:firstLine="357"/>
        <w:rPr>
          <w:rFonts w:asciiTheme="majorHAnsi" w:hAnsiTheme="majorHAnsi" w:cstheme="majorHAnsi"/>
          <w:sz w:val="20"/>
          <w:lang w:val="hu-HU"/>
        </w:rPr>
      </w:pPr>
    </w:p>
    <w:p w14:paraId="12D485A1" w14:textId="77777777" w:rsidR="00D0074F" w:rsidRDefault="004938E0">
      <w:pPr>
        <w:ind w:firstLine="357"/>
        <w:rPr>
          <w:rFonts w:asciiTheme="majorHAnsi" w:hAnsiTheme="majorHAnsi" w:cstheme="majorHAnsi"/>
          <w:sz w:val="20"/>
          <w:lang w:val="hu-HU"/>
        </w:rPr>
      </w:pPr>
      <w:r>
        <w:rPr>
          <w:rFonts w:asciiTheme="majorHAnsi" w:hAnsiTheme="majorHAnsi" w:cstheme="majorHAnsi"/>
          <w:sz w:val="20"/>
          <w:lang w:val="hu-HU"/>
        </w:rPr>
        <w:t xml:space="preserve">      </w:t>
      </w:r>
      <w:bookmarkStart w:id="4" w:name="diff_6"/>
      <w:r>
        <w:rPr>
          <w:rFonts w:asciiTheme="majorHAnsi" w:hAnsiTheme="majorHAnsi" w:cstheme="majorHAnsi"/>
          <w:sz w:val="20"/>
          <w:lang w:val="hu-HU"/>
        </w:rPr>
        <w:t>…………………………………………</w:t>
      </w:r>
      <w:r>
        <w:rPr>
          <w:rFonts w:asciiTheme="majorHAnsi" w:hAnsiTheme="majorHAnsi" w:cstheme="majorHAnsi"/>
          <w:sz w:val="20"/>
          <w:lang w:val="hu-HU"/>
        </w:rPr>
        <w:tab/>
      </w:r>
      <w:r>
        <w:rPr>
          <w:rFonts w:asciiTheme="majorHAnsi" w:hAnsiTheme="majorHAnsi" w:cstheme="majorHAnsi"/>
          <w:sz w:val="20"/>
          <w:lang w:val="hu-HU"/>
        </w:rPr>
        <w:tab/>
      </w:r>
      <w:r>
        <w:rPr>
          <w:rFonts w:asciiTheme="majorHAnsi" w:hAnsiTheme="majorHAnsi" w:cstheme="majorHAnsi"/>
          <w:sz w:val="20"/>
          <w:lang w:val="hu-HU"/>
        </w:rPr>
        <w:tab/>
      </w:r>
      <w:r>
        <w:rPr>
          <w:rFonts w:asciiTheme="majorHAnsi" w:hAnsiTheme="majorHAnsi" w:cstheme="majorHAnsi"/>
          <w:sz w:val="20"/>
          <w:lang w:val="hu-HU"/>
        </w:rPr>
        <w:t xml:space="preserve">                      …………………………………………</w:t>
      </w:r>
    </w:p>
    <w:p w14:paraId="7E172303" w14:textId="77777777" w:rsidR="00D0074F" w:rsidRDefault="004938E0">
      <w:pPr>
        <w:spacing w:line="276" w:lineRule="auto"/>
        <w:jc w:val="both"/>
        <w:rPr>
          <w:rFonts w:ascii="Verdana" w:hAnsi="Verdana" w:cstheme="majorHAnsi"/>
          <w:b/>
          <w:sz w:val="20"/>
          <w:szCs w:val="22"/>
          <w:lang w:val="hu-HU"/>
        </w:rPr>
      </w:pPr>
      <w:r>
        <w:rPr>
          <w:rFonts w:asciiTheme="majorHAnsi" w:hAnsiTheme="majorHAnsi" w:cstheme="majorHAnsi"/>
          <w:sz w:val="22"/>
          <w:szCs w:val="22"/>
          <w:lang w:val="hu-HU"/>
        </w:rPr>
        <w:t xml:space="preserve">                      Nagy László</w:t>
      </w:r>
      <w:r>
        <w:rPr>
          <w:rFonts w:ascii="Verdana" w:hAnsi="Verdana" w:cstheme="majorHAnsi"/>
          <w:b/>
          <w:sz w:val="20"/>
          <w:szCs w:val="22"/>
          <w:lang w:val="hu-HU"/>
        </w:rPr>
        <w:t xml:space="preserve">  </w:t>
      </w:r>
      <w:r>
        <w:rPr>
          <w:rFonts w:asciiTheme="majorHAnsi" w:hAnsiTheme="majorHAnsi" w:cstheme="majorHAnsi"/>
          <w:sz w:val="22"/>
          <w:szCs w:val="22"/>
          <w:lang w:val="hu-HU"/>
        </w:rPr>
        <w:tab/>
      </w:r>
      <w:r>
        <w:rPr>
          <w:rFonts w:asciiTheme="majorHAnsi" w:hAnsiTheme="majorHAnsi" w:cstheme="majorHAnsi"/>
          <w:sz w:val="22"/>
          <w:szCs w:val="22"/>
          <w:lang w:val="hu-HU"/>
        </w:rPr>
        <w:tab/>
      </w:r>
      <w:r>
        <w:rPr>
          <w:rFonts w:asciiTheme="majorHAnsi" w:hAnsiTheme="majorHAnsi" w:cstheme="majorHAnsi"/>
          <w:sz w:val="22"/>
          <w:szCs w:val="22"/>
          <w:lang w:val="hu-HU"/>
        </w:rPr>
        <w:tab/>
      </w:r>
      <w:r>
        <w:rPr>
          <w:rFonts w:asciiTheme="majorHAnsi" w:hAnsiTheme="majorHAnsi" w:cstheme="majorHAnsi"/>
          <w:sz w:val="22"/>
          <w:szCs w:val="22"/>
          <w:lang w:val="hu-HU"/>
        </w:rPr>
        <w:tab/>
      </w:r>
      <w:bookmarkStart w:id="5" w:name="_Hlk172631092"/>
      <w:r>
        <w:rPr>
          <w:rFonts w:asciiTheme="majorHAnsi" w:hAnsiTheme="majorHAnsi" w:cstheme="majorHAnsi"/>
          <w:sz w:val="22"/>
          <w:szCs w:val="22"/>
          <w:lang w:val="hu-HU"/>
        </w:rPr>
        <w:tab/>
        <w:t>Christian Pfister</w:t>
      </w:r>
      <w:bookmarkEnd w:id="5"/>
      <w:r>
        <w:rPr>
          <w:rFonts w:ascii="Verdana" w:hAnsi="Verdana" w:cstheme="majorHAnsi"/>
          <w:b/>
          <w:sz w:val="20"/>
          <w:szCs w:val="22"/>
          <w:lang w:val="hu-HU"/>
        </w:rPr>
        <w:t xml:space="preserve">  </w:t>
      </w:r>
    </w:p>
    <w:p w14:paraId="58A72CC3" w14:textId="77777777" w:rsidR="00D0074F" w:rsidRDefault="004938E0">
      <w:pPr>
        <w:spacing w:line="276" w:lineRule="auto"/>
        <w:jc w:val="both"/>
        <w:rPr>
          <w:rFonts w:asciiTheme="majorHAnsi" w:hAnsiTheme="majorHAnsi" w:cstheme="majorHAnsi"/>
          <w:sz w:val="22"/>
          <w:szCs w:val="22"/>
        </w:rPr>
      </w:pPr>
      <w:r>
        <w:rPr>
          <w:rFonts w:asciiTheme="majorHAnsi" w:hAnsiTheme="majorHAnsi" w:cstheme="majorHAnsi"/>
          <w:sz w:val="22"/>
          <w:szCs w:val="22"/>
          <w:lang w:val="hu-HU"/>
        </w:rPr>
        <w:t xml:space="preserve">                 Managing </w:t>
      </w:r>
      <w:proofErr w:type="gramStart"/>
      <w:r>
        <w:rPr>
          <w:rFonts w:asciiTheme="majorHAnsi" w:hAnsiTheme="majorHAnsi" w:cstheme="majorHAnsi"/>
          <w:sz w:val="22"/>
          <w:szCs w:val="22"/>
          <w:lang w:val="hu-HU"/>
        </w:rPr>
        <w:t xml:space="preserve">Director  </w:t>
      </w:r>
      <w:r>
        <w:rPr>
          <w:rFonts w:asciiTheme="majorHAnsi" w:hAnsiTheme="majorHAnsi" w:cstheme="majorHAnsi"/>
          <w:sz w:val="22"/>
          <w:szCs w:val="22"/>
          <w:lang w:val="hu-HU"/>
        </w:rPr>
        <w:tab/>
      </w:r>
      <w:proofErr w:type="gramEnd"/>
      <w:r>
        <w:rPr>
          <w:rFonts w:asciiTheme="majorHAnsi" w:hAnsiTheme="majorHAnsi" w:cstheme="majorHAnsi"/>
          <w:sz w:val="22"/>
          <w:szCs w:val="22"/>
          <w:lang w:val="hu-HU"/>
        </w:rPr>
        <w:tab/>
      </w:r>
      <w:r>
        <w:rPr>
          <w:rFonts w:asciiTheme="majorHAnsi" w:hAnsiTheme="majorHAnsi" w:cstheme="majorHAnsi"/>
          <w:sz w:val="22"/>
          <w:szCs w:val="22"/>
          <w:lang w:val="hu-HU"/>
        </w:rPr>
        <w:tab/>
      </w:r>
      <w:r>
        <w:rPr>
          <w:rFonts w:asciiTheme="majorHAnsi" w:hAnsiTheme="majorHAnsi" w:cstheme="majorHAnsi"/>
          <w:sz w:val="22"/>
          <w:szCs w:val="22"/>
          <w:lang w:val="hu-HU"/>
        </w:rPr>
        <w:tab/>
        <w:t xml:space="preserve">            </w:t>
      </w:r>
      <w:r>
        <w:rPr>
          <w:rFonts w:asciiTheme="majorHAnsi" w:hAnsiTheme="majorHAnsi" w:cstheme="majorHAnsi"/>
          <w:sz w:val="22"/>
          <w:szCs w:val="22"/>
        </w:rPr>
        <w:t>Managing Director</w:t>
      </w:r>
      <w:bookmarkEnd w:id="4"/>
      <w:r>
        <w:rPr>
          <w:rFonts w:asciiTheme="majorHAnsi" w:hAnsiTheme="majorHAnsi" w:cstheme="majorHAnsi"/>
          <w:sz w:val="22"/>
          <w:szCs w:val="22"/>
        </w:rPr>
        <w:t xml:space="preserve"> </w:t>
      </w:r>
    </w:p>
    <w:p w14:paraId="206D2CA7" w14:textId="77777777" w:rsidR="00D0074F" w:rsidRDefault="00D0074F">
      <w:pPr>
        <w:spacing w:line="276" w:lineRule="auto"/>
        <w:ind w:left="720" w:firstLine="720"/>
        <w:jc w:val="both"/>
        <w:rPr>
          <w:rFonts w:asciiTheme="majorHAnsi" w:hAnsiTheme="majorHAnsi" w:cstheme="majorHAnsi"/>
          <w:sz w:val="22"/>
          <w:szCs w:val="22"/>
          <w:lang w:val="hu-HU"/>
        </w:rPr>
      </w:pPr>
    </w:p>
    <w:p w14:paraId="1756C728" w14:textId="77777777" w:rsidR="00D0074F" w:rsidRDefault="00D0074F">
      <w:pPr>
        <w:spacing w:line="276" w:lineRule="auto"/>
        <w:ind w:left="720" w:firstLine="720"/>
        <w:jc w:val="both"/>
        <w:rPr>
          <w:rFonts w:asciiTheme="majorHAnsi" w:hAnsiTheme="majorHAnsi" w:cstheme="majorHAnsi"/>
          <w:sz w:val="22"/>
          <w:szCs w:val="22"/>
          <w:lang w:val="hu-HU"/>
        </w:rPr>
      </w:pPr>
    </w:p>
    <w:p w14:paraId="7722FDC1" w14:textId="77777777" w:rsidR="00D0074F" w:rsidRDefault="00D0074F">
      <w:pPr>
        <w:spacing w:line="276" w:lineRule="auto"/>
        <w:ind w:left="720" w:firstLine="720"/>
        <w:jc w:val="both"/>
        <w:rPr>
          <w:rFonts w:asciiTheme="majorHAnsi" w:hAnsiTheme="majorHAnsi" w:cstheme="majorHAnsi"/>
          <w:sz w:val="22"/>
          <w:szCs w:val="22"/>
          <w:lang w:val="hu-HU"/>
        </w:rPr>
      </w:pPr>
    </w:p>
    <w:p w14:paraId="146DC61C" w14:textId="77777777" w:rsidR="00D0074F" w:rsidRDefault="00D0074F"/>
    <w:sectPr w:rsidR="00D0074F">
      <w:headerReference w:type="default" r:id="rId12"/>
      <w:footerReference w:type="default" r:id="rId13"/>
      <w:pgSz w:w="12240" w:h="15840"/>
      <w:pgMar w:top="1560" w:right="1797" w:bottom="1979"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037B7" w14:textId="77777777" w:rsidR="004938E0" w:rsidRDefault="004938E0">
      <w:r>
        <w:separator/>
      </w:r>
    </w:p>
  </w:endnote>
  <w:endnote w:type="continuationSeparator" w:id="0">
    <w:p w14:paraId="74E8BE80" w14:textId="77777777" w:rsidR="004938E0" w:rsidRDefault="0049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Cambri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8958" w14:textId="77777777" w:rsidR="00D0074F" w:rsidRDefault="004938E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F3FC" w14:textId="77777777" w:rsidR="004938E0" w:rsidRDefault="004938E0">
      <w:r>
        <w:separator/>
      </w:r>
    </w:p>
  </w:footnote>
  <w:footnote w:type="continuationSeparator" w:id="0">
    <w:p w14:paraId="274B9CCD" w14:textId="77777777" w:rsidR="004938E0" w:rsidRDefault="00493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54E8" w14:textId="77777777" w:rsidR="00D0074F" w:rsidRDefault="00D0074F">
    <w:pPr>
      <w:jc w:val="center"/>
      <w:rPr>
        <w:rFonts w:asciiTheme="majorHAnsi" w:hAnsiTheme="majorHAnsi" w:cstheme="majorHAnsi"/>
        <w:b/>
        <w:sz w:val="22"/>
        <w:szCs w:val="22"/>
        <w:lang w:val="hu-HU"/>
      </w:rPr>
    </w:pPr>
  </w:p>
  <w:p w14:paraId="6625099E" w14:textId="77777777" w:rsidR="00D0074F" w:rsidRDefault="004938E0">
    <w:pPr>
      <w:jc w:val="center"/>
      <w:rPr>
        <w:rFonts w:asciiTheme="majorHAnsi" w:hAnsiTheme="majorHAnsi" w:cstheme="majorHAnsi"/>
        <w:b/>
        <w:sz w:val="22"/>
        <w:szCs w:val="22"/>
        <w:lang w:val="hu-HU"/>
      </w:rPr>
    </w:pPr>
    <w:r>
      <w:rPr>
        <w:rFonts w:asciiTheme="majorHAnsi" w:hAnsiTheme="majorHAnsi" w:cstheme="majorHAnsi"/>
        <w:b/>
        <w:sz w:val="22"/>
        <w:szCs w:val="22"/>
        <w:lang w:val="hu-HU"/>
      </w:rPr>
      <w:t>FLEXTRONICS INTERNATIONAL KFT.</w:t>
    </w:r>
  </w:p>
  <w:p w14:paraId="35EEDB39" w14:textId="77777777" w:rsidR="00D0074F" w:rsidRDefault="004938E0">
    <w:pPr>
      <w:pStyle w:val="Header"/>
      <w:jc w:val="center"/>
      <w:rPr>
        <w:rFonts w:asciiTheme="majorHAnsi" w:hAnsiTheme="majorHAnsi" w:cstheme="majorHAnsi"/>
        <w:b/>
        <w:bCs/>
        <w:sz w:val="22"/>
        <w:szCs w:val="22"/>
        <w:u w:val="single"/>
      </w:rPr>
    </w:pPr>
    <w:r>
      <w:rPr>
        <w:rFonts w:asciiTheme="majorHAnsi" w:hAnsiTheme="majorHAnsi" w:cstheme="majorHAnsi"/>
        <w:b/>
        <w:bCs/>
        <w:sz w:val="22"/>
        <w:szCs w:val="22"/>
        <w:u w:val="single"/>
      </w:rPr>
      <w:t>BUSINESS REPORT for the year ended 31 March 2026</w:t>
    </w:r>
  </w:p>
  <w:p w14:paraId="275CF7F8" w14:textId="77777777" w:rsidR="00D0074F" w:rsidRDefault="00D0074F">
    <w:pPr>
      <w:pStyle w:val="Header"/>
      <w:jc w:val="cente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A7CBA"/>
    <w:multiLevelType w:val="multilevel"/>
    <w:tmpl w:val="94E8F7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6C3BFD"/>
    <w:multiLevelType w:val="multilevel"/>
    <w:tmpl w:val="AD16B822"/>
    <w:lvl w:ilvl="0">
      <w:start w:val="2"/>
      <w:numFmt w:val="decimal"/>
      <w:lvlText w:val="%1."/>
      <w:lvlJc w:val="left"/>
      <w:pPr>
        <w:tabs>
          <w:tab w:val="num" w:pos="570"/>
        </w:tabs>
        <w:ind w:left="570" w:hanging="570"/>
      </w:pPr>
      <w:rPr>
        <w:rFonts w:hint="default"/>
        <w:u w:val="none"/>
      </w:rPr>
    </w:lvl>
    <w:lvl w:ilvl="1">
      <w:start w:val="3"/>
      <w:numFmt w:val="decimal"/>
      <w:lvlText w:val="%1.%2."/>
      <w:lvlJc w:val="left"/>
      <w:pPr>
        <w:tabs>
          <w:tab w:val="num" w:pos="1004"/>
        </w:tabs>
        <w:ind w:left="1004"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43E84E37"/>
    <w:multiLevelType w:val="hybridMultilevel"/>
    <w:tmpl w:val="74A8DE14"/>
    <w:lvl w:ilvl="0" w:tplc="3CF2849A">
      <w:start w:val="1"/>
      <w:numFmt w:val="decimal"/>
      <w:lvlText w:val="%1."/>
      <w:lvlJc w:val="left"/>
      <w:pPr>
        <w:tabs>
          <w:tab w:val="num" w:pos="720"/>
        </w:tabs>
        <w:ind w:left="720" w:hanging="360"/>
      </w:pPr>
    </w:lvl>
    <w:lvl w:ilvl="1" w:tplc="9630402E">
      <w:start w:val="1"/>
      <w:numFmt w:val="lowerLetter"/>
      <w:lvlText w:val="%2."/>
      <w:lvlJc w:val="left"/>
      <w:pPr>
        <w:tabs>
          <w:tab w:val="num" w:pos="1440"/>
        </w:tabs>
        <w:ind w:left="1440" w:hanging="360"/>
      </w:pPr>
    </w:lvl>
    <w:lvl w:ilvl="2" w:tplc="A90822D2">
      <w:start w:val="1"/>
      <w:numFmt w:val="lowerRoman"/>
      <w:lvlText w:val="%3."/>
      <w:lvlJc w:val="right"/>
      <w:pPr>
        <w:tabs>
          <w:tab w:val="num" w:pos="2160"/>
        </w:tabs>
        <w:ind w:left="2160" w:hanging="180"/>
      </w:pPr>
    </w:lvl>
    <w:lvl w:ilvl="3" w:tplc="4E929D62">
      <w:start w:val="1"/>
      <w:numFmt w:val="decimal"/>
      <w:lvlText w:val="%4."/>
      <w:lvlJc w:val="left"/>
      <w:pPr>
        <w:tabs>
          <w:tab w:val="num" w:pos="2880"/>
        </w:tabs>
        <w:ind w:left="2880" w:hanging="360"/>
      </w:pPr>
    </w:lvl>
    <w:lvl w:ilvl="4" w:tplc="64963986">
      <w:start w:val="1"/>
      <w:numFmt w:val="lowerLetter"/>
      <w:lvlText w:val="%5."/>
      <w:lvlJc w:val="left"/>
      <w:pPr>
        <w:tabs>
          <w:tab w:val="num" w:pos="3600"/>
        </w:tabs>
        <w:ind w:left="3600" w:hanging="360"/>
      </w:pPr>
    </w:lvl>
    <w:lvl w:ilvl="5" w:tplc="13400568">
      <w:start w:val="1"/>
      <w:numFmt w:val="lowerRoman"/>
      <w:lvlText w:val="%6."/>
      <w:lvlJc w:val="right"/>
      <w:pPr>
        <w:tabs>
          <w:tab w:val="num" w:pos="4320"/>
        </w:tabs>
        <w:ind w:left="4320" w:hanging="180"/>
      </w:pPr>
    </w:lvl>
    <w:lvl w:ilvl="6" w:tplc="D5328040">
      <w:start w:val="1"/>
      <w:numFmt w:val="decimal"/>
      <w:lvlText w:val="%7."/>
      <w:lvlJc w:val="left"/>
      <w:pPr>
        <w:tabs>
          <w:tab w:val="num" w:pos="5040"/>
        </w:tabs>
        <w:ind w:left="5040" w:hanging="360"/>
      </w:pPr>
    </w:lvl>
    <w:lvl w:ilvl="7" w:tplc="A2448E7C">
      <w:start w:val="1"/>
      <w:numFmt w:val="lowerLetter"/>
      <w:lvlText w:val="%8."/>
      <w:lvlJc w:val="left"/>
      <w:pPr>
        <w:tabs>
          <w:tab w:val="num" w:pos="5760"/>
        </w:tabs>
        <w:ind w:left="5760" w:hanging="360"/>
      </w:pPr>
    </w:lvl>
    <w:lvl w:ilvl="8" w:tplc="C2BEAD24">
      <w:start w:val="1"/>
      <w:numFmt w:val="lowerRoman"/>
      <w:lvlText w:val="%9."/>
      <w:lvlJc w:val="right"/>
      <w:pPr>
        <w:tabs>
          <w:tab w:val="num" w:pos="6480"/>
        </w:tabs>
        <w:ind w:left="6480" w:hanging="180"/>
      </w:pPr>
    </w:lvl>
  </w:abstractNum>
  <w:num w:numId="1" w16cid:durableId="533546459">
    <w:abstractNumId w:val="0"/>
  </w:num>
  <w:num w:numId="2" w16cid:durableId="388574683">
    <w:abstractNumId w:val="1"/>
  </w:num>
  <w:num w:numId="3" w16cid:durableId="9902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en-GB" w:vendorID="64" w:dllVersion="0" w:nlCheck="1" w:checkStyle="0"/>
  <w:activeWritingStyle w:appName="MSWord" w:lang="en-US" w:vendorID="64" w:dllVersion="0" w:nlCheck="1" w:checkStyle="0"/>
  <w:activeWritingStyle w:appName="MSWord" w:lang="hu-H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D0074F"/>
    <w:rsid w:val="000074BB"/>
    <w:rsid w:val="000F53D7"/>
    <w:rsid w:val="004938E0"/>
    <w:rsid w:val="00757EAF"/>
    <w:rsid w:val="00D0074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CDA07"/>
  <w15:docId w15:val="{C16A74C5-25E5-4E6D-B4EF-29E68A3C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Pr>
      <w:rFonts w:ascii="Tahoma" w:hAnsi="Tahoma" w:cs="Tahoma"/>
      <w:sz w:val="16"/>
      <w:szCs w:val="16"/>
    </w:rPr>
  </w:style>
  <w:style w:type="paragraph" w:styleId="Footer">
    <w:name w:val="footer"/>
    <w:basedOn w:val="Normal"/>
    <w:pPr>
      <w:keepLines/>
      <w:tabs>
        <w:tab w:val="left" w:pos="567"/>
        <w:tab w:val="left" w:pos="720"/>
        <w:tab w:val="center" w:pos="4320"/>
        <w:tab w:val="right" w:pos="8640"/>
      </w:tabs>
      <w:jc w:val="both"/>
    </w:pPr>
    <w:rPr>
      <w:rFonts w:ascii="Book Antiqua" w:hAnsi="Book Antiqua"/>
      <w:sz w:val="22"/>
      <w:szCs w:val="20"/>
      <w:lang w:val="en-GB"/>
    </w:rPr>
  </w:style>
  <w:style w:type="paragraph" w:styleId="BodyTextIndent3">
    <w:name w:val="Body Text Indent 3"/>
    <w:basedOn w:val="Normal"/>
    <w:pPr>
      <w:keepNext/>
      <w:keepLines/>
      <w:ind w:left="180" w:hanging="180"/>
      <w:jc w:val="both"/>
    </w:pPr>
    <w:rPr>
      <w:sz w:val="22"/>
      <w:szCs w:val="20"/>
      <w:lang w:val="hu-HU"/>
    </w:rPr>
  </w:style>
  <w:style w:type="paragraph" w:styleId="Header">
    <w:name w:val="header"/>
    <w:basedOn w:val="Normal"/>
    <w:pPr>
      <w:tabs>
        <w:tab w:val="center" w:pos="4536"/>
        <w:tab w:val="right" w:pos="9072"/>
      </w:tabs>
    </w:pPr>
  </w:style>
  <w:style w:type="character" w:styleId="PageNumber">
    <w:name w:val="page number"/>
    <w:basedOn w:val="DefaultParagraphFont"/>
  </w:style>
  <w:style w:type="character" w:customStyle="1" w:styleId="CommentReference1">
    <w:name w:val="Comment Reference1"/>
    <w:basedOn w:val="DefaultParagraphFont"/>
    <w:uiPriority w:val="99"/>
    <w:semiHidden/>
    <w:unhideWhenUsed/>
    <w:rPr>
      <w:sz w:val="16"/>
      <w:szCs w:val="16"/>
    </w:rPr>
  </w:style>
  <w:style w:type="paragraph" w:customStyle="1" w:styleId="CommentText1">
    <w:name w:val="Comment Text1"/>
    <w:basedOn w:val="Normal"/>
    <w:link w:val="CommentTextChar"/>
    <w:uiPriority w:val="99"/>
    <w:unhideWhenUsed/>
    <w:rPr>
      <w:sz w:val="20"/>
      <w:szCs w:val="20"/>
    </w:rPr>
  </w:style>
  <w:style w:type="character" w:customStyle="1" w:styleId="CommentTextChar">
    <w:name w:val="Comment Text Char"/>
    <w:basedOn w:val="DefaultParagraphFont"/>
    <w:link w:val="CommentText1"/>
    <w:uiPriority w:val="99"/>
  </w:style>
  <w:style w:type="paragraph" w:customStyle="1" w:styleId="CommentSubject1">
    <w:name w:val="Comment Subject1"/>
    <w:basedOn w:val="CommentText1"/>
    <w:next w:val="CommentText1"/>
    <w:link w:val="CommentSubjectChar"/>
    <w:uiPriority w:val="99"/>
    <w:semiHidden/>
    <w:unhideWhenUsed/>
    <w:rPr>
      <w:b/>
      <w:bCs/>
    </w:rPr>
  </w:style>
  <w:style w:type="character" w:customStyle="1" w:styleId="CommentSubjectChar">
    <w:name w:val="Comment Subject Char"/>
    <w:basedOn w:val="DefaultParagraphFont"/>
    <w:link w:val="CommentSubject1"/>
    <w:uiPriority w:val="99"/>
    <w:semiHidden/>
    <w:rPr>
      <w:b/>
      <w:bCs/>
    </w:rPr>
  </w:style>
  <w:style w:type="paragraph" w:customStyle="1" w:styleId="Revision1">
    <w:name w:val="Revision1"/>
    <w:uiPriority w:val="99"/>
    <w:semiHidden/>
    <w:rPr>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ommentText">
    <w:name w:val="annotation text"/>
    <w:basedOn w:val="Normal"/>
    <w:link w:val="CommentTextChar1"/>
    <w:uiPriority w:val="99"/>
    <w:semiHidden/>
    <w:unhideWhenUsed/>
    <w:rPr>
      <w:sz w:val="20"/>
      <w:szCs w:val="20"/>
    </w:rPr>
  </w:style>
  <w:style w:type="character" w:customStyle="1" w:styleId="CommentTextChar1">
    <w:name w:val="Comment Text Char1"/>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9ebc9b-d82d-408e-a480-6b938c95216a">
      <Terms xmlns="http://schemas.microsoft.com/office/infopath/2007/PartnerControls"/>
    </lcf76f155ced4ddcb4097134ff3c332f>
    <TaxCatchAll xmlns="806405bc-7f51-4043-9626-430395f1da7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DAEMSEngagementItemInfo xmlns="http://schemas.microsoft.com/DAEMSEngagementItemInfoXML">
  <EngagementID>5000627137</EngagementID>
  <LogicalEMSServerID>839239884721417863</LogicalEMSServerID>
  <WorkingPaperID>4383921569100002335</WorkingPaperID>
</DAEMSEngagementItemInfo>
</file>

<file path=customXml/item4.xml><?xml version="1.0" encoding="utf-8"?>
<ct:contentTypeSchema xmlns:ct="http://schemas.microsoft.com/office/2006/metadata/contentType" xmlns:ma="http://schemas.microsoft.com/office/2006/metadata/properties/metaAttributes" ct:_="" ma:_="" ma:contentTypeName="Document" ma:contentTypeID="0x010100D3B69ECF0CADB84FAA679EE912E4CC41" ma:contentTypeVersion="10" ma:contentTypeDescription="Create a new document." ma:contentTypeScope="" ma:versionID="69e522b103d2af1d17b9dfba93e9cff8">
  <xsd:schema xmlns:xsd="http://www.w3.org/2001/XMLSchema" xmlns:xs="http://www.w3.org/2001/XMLSchema" xmlns:p="http://schemas.microsoft.com/office/2006/metadata/properties" xmlns:ns2="599ebc9b-d82d-408e-a480-6b938c95216a" xmlns:ns3="806405bc-7f51-4043-9626-430395f1da73" targetNamespace="http://schemas.microsoft.com/office/2006/metadata/properties" ma:root="true" ma:fieldsID="07385d8d5c460c76121196841e171302" ns2:_="" ns3:_="">
    <xsd:import namespace="599ebc9b-d82d-408e-a480-6b938c95216a"/>
    <xsd:import namespace="806405bc-7f51-4043-9626-430395f1d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ebc9b-d82d-408e-a480-6b938c952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405bc-7f51-4043-9626-430395f1d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a4f123-fe75-4b04-8b96-2405fd7a55b9}" ma:internalName="TaxCatchAll" ma:showField="CatchAllData" ma:web="806405bc-7f51-4043-9626-430395f1d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F0850-1EE9-4615-B6A6-50CE59F89948}">
  <ds:schemaRefs>
    <ds:schemaRef ds:uri="http://schemas.microsoft.com/office/2006/metadata/properties"/>
    <ds:schemaRef ds:uri="http://schemas.microsoft.com/office/infopath/2007/PartnerControls"/>
    <ds:schemaRef ds:uri="599ebc9b-d82d-408e-a480-6b938c95216a"/>
    <ds:schemaRef ds:uri="806405bc-7f51-4043-9626-430395f1da73"/>
  </ds:schemaRefs>
</ds:datastoreItem>
</file>

<file path=customXml/itemProps2.xml><?xml version="1.0" encoding="utf-8"?>
<ds:datastoreItem xmlns:ds="http://schemas.openxmlformats.org/officeDocument/2006/customXml" ds:itemID="{38E3DF2E-3EBE-41F8-BA61-156687A8F05A}">
  <ds:schemaRefs>
    <ds:schemaRef ds:uri="http://schemas.openxmlformats.org/officeDocument/2006/bibliography"/>
  </ds:schemaRefs>
</ds:datastoreItem>
</file>

<file path=customXml/itemProps3.xml><?xml version="1.0" encoding="utf-8"?>
<ds:datastoreItem xmlns:ds="http://schemas.openxmlformats.org/officeDocument/2006/customXml" ds:itemID="{C84363B8-889B-4497-B788-AEF1FF8206D0}">
  <ds:schemaRefs>
    <ds:schemaRef ds:uri="http://schemas.microsoft.com/DAEMSEngagementItemInfoXML"/>
  </ds:schemaRefs>
</ds:datastoreItem>
</file>

<file path=customXml/itemProps4.xml><?xml version="1.0" encoding="utf-8"?>
<ds:datastoreItem xmlns:ds="http://schemas.openxmlformats.org/officeDocument/2006/customXml" ds:itemID="{6E8523FD-A6B4-4B28-8549-2BF56FE0F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ebc9b-d82d-408e-a480-6b938c95216a"/>
    <ds:schemaRef ds:uri="806405bc-7f51-4043-9626-430395f1d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DD155C-4C91-4043-B7B0-9E4E0466CC8F}">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1517</Words>
  <Characters>8647</Characters>
  <Application>Microsoft Office Word</Application>
  <DocSecurity>0</DocSecurity>
  <Lines>72</Lines>
  <Paragraphs>20</Paragraphs>
  <ScaleCrop>false</ScaleCrop>
  <Company>FLEXTRONICS</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FLEXTRONICS INTERNATIONAL  KFT</dc:title>
  <dc:subject/>
  <dc:creator>sarvbell</dc:creator>
  <cp:keywords/>
  <dc:description/>
  <cp:lastModifiedBy>Sebdenics, Bettina</cp:lastModifiedBy>
  <cp:revision>27</cp:revision>
  <cp:lastPrinted>2025-07-30T11:55:00Z</cp:lastPrinted>
  <dcterms:created xsi:type="dcterms:W3CDTF">2026-07-21T14:21:00Z</dcterms:created>
  <dcterms:modified xsi:type="dcterms:W3CDTF">2026-07-30T10:04:00Z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2021-08-27T16:31:14Z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8d145678-35b1-472a-bcdb-49a652ccab2c</vt:lpwstr>
  </property>
  <property fmtid="{D5CDD505-2E9C-101B-9397-08002B2CF9AE}" pid="9" name="MSIP_Label_ea60d57e-af5b-4752-ac57-3e4f28ca11dc_ContentBits">
    <vt:lpwstr>0</vt:lpwstr>
  </property>
  <property fmtid="{D5CDD505-2E9C-101B-9397-08002B2CF9AE}" pid="10" name="ContentTypeId">
    <vt:lpwstr>0x010100D3B69ECF0CADB84FAA679EE912E4CC41</vt:lpwstr>
  </property>
  <property fmtid="{D5CDD505-2E9C-101B-9397-08002B2CF9AE}" pid="11" name="MediaServiceImageTags">
    <vt:lpwstr/>
  </property>
</Properties>
</file>